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4F5F2" w14:textId="77777777" w:rsidR="00CE1DB8" w:rsidRDefault="00CE1DB8" w:rsidP="00101965">
      <w:pPr>
        <w:pStyle w:val="paragraph"/>
        <w:spacing w:before="0" w:beforeAutospacing="0" w:after="0" w:afterAutospacing="0" w:line="480" w:lineRule="auto"/>
        <w:jc w:val="center"/>
        <w:textAlignment w:val="baseline"/>
        <w:rPr>
          <w:rStyle w:val="normaltextrun"/>
          <w:rFonts w:ascii="Century Schoolbook" w:hAnsi="Century Schoolbook" w:cs="Calibri"/>
          <w:b/>
          <w:bCs/>
          <w:spacing w:val="20"/>
        </w:rPr>
      </w:pPr>
    </w:p>
    <w:p w14:paraId="3CFB66B0" w14:textId="77777777" w:rsidR="00CE1DB8" w:rsidRDefault="00CE1DB8" w:rsidP="00101965">
      <w:pPr>
        <w:pStyle w:val="paragraph"/>
        <w:spacing w:before="0" w:beforeAutospacing="0" w:after="0" w:afterAutospacing="0" w:line="480" w:lineRule="auto"/>
        <w:jc w:val="center"/>
        <w:textAlignment w:val="baseline"/>
        <w:rPr>
          <w:rStyle w:val="normaltextrun"/>
          <w:rFonts w:ascii="Century Schoolbook" w:hAnsi="Century Schoolbook" w:cs="Calibri"/>
          <w:b/>
          <w:bCs/>
          <w:spacing w:val="20"/>
        </w:rPr>
      </w:pPr>
    </w:p>
    <w:p w14:paraId="5F861AFE" w14:textId="77777777" w:rsidR="00CE1DB8" w:rsidRDefault="00CE1DB8" w:rsidP="00101965">
      <w:pPr>
        <w:pStyle w:val="paragraph"/>
        <w:spacing w:before="0" w:beforeAutospacing="0" w:after="0" w:afterAutospacing="0" w:line="480" w:lineRule="auto"/>
        <w:jc w:val="center"/>
        <w:textAlignment w:val="baseline"/>
        <w:rPr>
          <w:rStyle w:val="normaltextrun"/>
          <w:rFonts w:ascii="Century Schoolbook" w:hAnsi="Century Schoolbook" w:cs="Calibri"/>
          <w:b/>
          <w:bCs/>
          <w:spacing w:val="20"/>
        </w:rPr>
      </w:pPr>
    </w:p>
    <w:p w14:paraId="6DA44C3D" w14:textId="42F10F7B" w:rsidR="00512053" w:rsidRDefault="00512053" w:rsidP="00101965">
      <w:pPr>
        <w:pStyle w:val="paragraph"/>
        <w:pBdr>
          <w:bottom w:val="single" w:sz="12" w:space="1" w:color="auto"/>
        </w:pBdr>
        <w:spacing w:before="0" w:beforeAutospacing="0" w:after="0" w:afterAutospacing="0" w:line="480" w:lineRule="auto"/>
        <w:jc w:val="center"/>
        <w:textAlignment w:val="baseline"/>
        <w:rPr>
          <w:rStyle w:val="normaltextrun"/>
          <w:rFonts w:ascii="Century Schoolbook" w:hAnsi="Century Schoolbook" w:cs="Calibri"/>
          <w:b/>
          <w:bCs/>
          <w:spacing w:val="20"/>
        </w:rPr>
      </w:pPr>
      <w:r w:rsidRPr="00101965">
        <w:rPr>
          <w:rStyle w:val="normaltextrun"/>
          <w:rFonts w:ascii="Century Schoolbook" w:hAnsi="Century Schoolbook" w:cs="Calibri"/>
          <w:b/>
          <w:bCs/>
          <w:spacing w:val="20"/>
        </w:rPr>
        <w:t>F</w:t>
      </w:r>
      <w:r w:rsidR="00B57485" w:rsidRPr="00101965">
        <w:rPr>
          <w:rStyle w:val="normaltextrun"/>
          <w:rFonts w:ascii="Century Schoolbook" w:hAnsi="Century Schoolbook" w:cs="Calibri"/>
          <w:b/>
          <w:bCs/>
          <w:spacing w:val="20"/>
        </w:rPr>
        <w:t>R</w:t>
      </w:r>
      <w:r w:rsidR="00170A45" w:rsidRPr="00101965">
        <w:rPr>
          <w:rStyle w:val="normaltextrun"/>
          <w:rFonts w:ascii="Century Schoolbook" w:hAnsi="Century Schoolbook" w:cs="Calibri"/>
          <w:b/>
          <w:bCs/>
          <w:spacing w:val="20"/>
        </w:rPr>
        <w:t>ETT V. STATE FARM:</w:t>
      </w:r>
      <w:r w:rsidR="00947F66" w:rsidRPr="00101965">
        <w:rPr>
          <w:rStyle w:val="normaltextrun"/>
          <w:rFonts w:ascii="Century Schoolbook" w:hAnsi="Century Schoolbook" w:cs="Calibri"/>
          <w:b/>
          <w:bCs/>
          <w:spacing w:val="20"/>
        </w:rPr>
        <w:t xml:space="preserve"> </w:t>
      </w:r>
      <w:r w:rsidR="00DE389A" w:rsidRPr="00101965">
        <w:rPr>
          <w:rStyle w:val="normaltextrun"/>
          <w:rFonts w:ascii="Century Schoolbook" w:hAnsi="Century Schoolbook" w:cs="Calibri"/>
          <w:b/>
          <w:bCs/>
          <w:spacing w:val="20"/>
        </w:rPr>
        <w:t>EXPANDING COVERAGE FOR</w:t>
      </w:r>
      <w:r w:rsidR="0023671D" w:rsidRPr="00101965">
        <w:rPr>
          <w:rStyle w:val="normaltextrun"/>
          <w:rFonts w:ascii="Century Schoolbook" w:hAnsi="Century Schoolbook" w:cs="Calibri"/>
          <w:b/>
          <w:bCs/>
          <w:spacing w:val="20"/>
        </w:rPr>
        <w:t xml:space="preserve"> LUNCHBREAK </w:t>
      </w:r>
      <w:r w:rsidR="00DE389A" w:rsidRPr="00101965">
        <w:rPr>
          <w:rStyle w:val="normaltextrun"/>
          <w:rFonts w:ascii="Century Schoolbook" w:hAnsi="Century Schoolbook" w:cs="Calibri"/>
          <w:b/>
          <w:bCs/>
          <w:spacing w:val="20"/>
        </w:rPr>
        <w:t>INJURIES</w:t>
      </w:r>
    </w:p>
    <w:p w14:paraId="7D538A32" w14:textId="77777777" w:rsidR="00900970" w:rsidRDefault="00900970" w:rsidP="00101965">
      <w:pPr>
        <w:pStyle w:val="paragraph"/>
        <w:spacing w:before="0" w:beforeAutospacing="0" w:after="0" w:afterAutospacing="0" w:line="480" w:lineRule="auto"/>
        <w:jc w:val="center"/>
        <w:textAlignment w:val="baseline"/>
        <w:rPr>
          <w:rStyle w:val="normaltextrun"/>
          <w:rFonts w:ascii="Century Schoolbook" w:hAnsi="Century Schoolbook" w:cs="Calibri"/>
          <w:b/>
          <w:bCs/>
          <w:spacing w:val="20"/>
        </w:rPr>
      </w:pPr>
    </w:p>
    <w:p w14:paraId="72A8F7A0" w14:textId="5730BBD8" w:rsidR="00CE1DB8" w:rsidRDefault="00CE1DB8" w:rsidP="00101965">
      <w:pPr>
        <w:pStyle w:val="paragraph"/>
        <w:spacing w:before="0" w:beforeAutospacing="0" w:after="0" w:afterAutospacing="0" w:line="480" w:lineRule="auto"/>
        <w:jc w:val="center"/>
        <w:textAlignment w:val="baseline"/>
        <w:rPr>
          <w:rStyle w:val="normaltextrun"/>
          <w:rFonts w:ascii="Century Schoolbook" w:hAnsi="Century Schoolbook" w:cs="Calibri"/>
          <w:b/>
          <w:bCs/>
          <w:spacing w:val="20"/>
        </w:rPr>
      </w:pPr>
    </w:p>
    <w:p w14:paraId="03A33E17" w14:textId="2891AC0F" w:rsidR="00CE1DB8" w:rsidRDefault="00CE1DB8" w:rsidP="00101965">
      <w:pPr>
        <w:pStyle w:val="paragraph"/>
        <w:spacing w:before="0" w:beforeAutospacing="0" w:after="0" w:afterAutospacing="0" w:line="480" w:lineRule="auto"/>
        <w:jc w:val="center"/>
        <w:textAlignment w:val="baseline"/>
        <w:rPr>
          <w:rStyle w:val="normaltextrun"/>
          <w:rFonts w:ascii="Century Schoolbook" w:hAnsi="Century Schoolbook" w:cs="Calibri"/>
          <w:b/>
          <w:bCs/>
          <w:spacing w:val="20"/>
        </w:rPr>
      </w:pPr>
    </w:p>
    <w:p w14:paraId="77827BA9" w14:textId="33ABE4FE" w:rsidR="00CE1DB8" w:rsidRDefault="00780965" w:rsidP="00101965">
      <w:pPr>
        <w:pStyle w:val="paragraph"/>
        <w:spacing w:before="0" w:beforeAutospacing="0" w:after="0" w:afterAutospacing="0" w:line="480" w:lineRule="auto"/>
        <w:jc w:val="center"/>
        <w:textAlignment w:val="baseline"/>
        <w:rPr>
          <w:rStyle w:val="normaltextrun"/>
          <w:rFonts w:ascii="Century Schoolbook" w:hAnsi="Century Schoolbook" w:cs="Calibri"/>
          <w:b/>
          <w:bCs/>
          <w:spacing w:val="20"/>
        </w:rPr>
      </w:pPr>
      <w:r>
        <w:rPr>
          <w:rStyle w:val="normaltextrun"/>
          <w:rFonts w:ascii="Century Schoolbook" w:hAnsi="Century Schoolbook" w:cs="Calibri"/>
          <w:b/>
          <w:bCs/>
          <w:spacing w:val="20"/>
        </w:rPr>
        <w:t>Elliot Bourne</w:t>
      </w:r>
    </w:p>
    <w:p w14:paraId="647CA7EF" w14:textId="73DE4254" w:rsidR="00AC7C4F" w:rsidRDefault="00AC7C4F" w:rsidP="00101965">
      <w:pPr>
        <w:pStyle w:val="paragraph"/>
        <w:spacing w:before="0" w:beforeAutospacing="0" w:after="0" w:afterAutospacing="0" w:line="480" w:lineRule="auto"/>
        <w:jc w:val="center"/>
        <w:textAlignment w:val="baseline"/>
        <w:rPr>
          <w:rStyle w:val="normaltextrun"/>
          <w:rFonts w:ascii="Century Schoolbook" w:hAnsi="Century Schoolbook" w:cs="Calibri"/>
          <w:b/>
          <w:bCs/>
          <w:spacing w:val="20"/>
        </w:rPr>
      </w:pPr>
      <w:r>
        <w:rPr>
          <w:rStyle w:val="normaltextrun"/>
          <w:rFonts w:ascii="Century Schoolbook" w:hAnsi="Century Schoolbook" w:cs="Calibri"/>
          <w:b/>
          <w:bCs/>
          <w:spacing w:val="20"/>
        </w:rPr>
        <w:t>Bourne Law Firm</w:t>
      </w:r>
    </w:p>
    <w:p w14:paraId="1A5D49CC" w14:textId="30A38AA6" w:rsidR="00780965" w:rsidRDefault="00780965" w:rsidP="00101965">
      <w:pPr>
        <w:pStyle w:val="paragraph"/>
        <w:spacing w:before="0" w:beforeAutospacing="0" w:after="0" w:afterAutospacing="0" w:line="480" w:lineRule="auto"/>
        <w:jc w:val="center"/>
        <w:textAlignment w:val="baseline"/>
        <w:rPr>
          <w:rStyle w:val="normaltextrun"/>
          <w:rFonts w:ascii="Century Schoolbook" w:hAnsi="Century Schoolbook" w:cs="Calibri"/>
          <w:b/>
          <w:bCs/>
          <w:spacing w:val="20"/>
        </w:rPr>
      </w:pPr>
      <w:r>
        <w:rPr>
          <w:rStyle w:val="normaltextrun"/>
          <w:rFonts w:ascii="Century Schoolbook" w:hAnsi="Century Schoolbook" w:cs="Calibri"/>
          <w:b/>
          <w:bCs/>
          <w:spacing w:val="20"/>
        </w:rPr>
        <w:t>Cumming, Georgia</w:t>
      </w:r>
    </w:p>
    <w:p w14:paraId="0D0ADF25" w14:textId="751F43F0" w:rsidR="00AC7C4F" w:rsidRDefault="00AC7C4F" w:rsidP="00101965">
      <w:pPr>
        <w:pStyle w:val="paragraph"/>
        <w:spacing w:before="0" w:beforeAutospacing="0" w:after="0" w:afterAutospacing="0" w:line="480" w:lineRule="auto"/>
        <w:jc w:val="center"/>
        <w:textAlignment w:val="baseline"/>
        <w:rPr>
          <w:rStyle w:val="normaltextrun"/>
          <w:rFonts w:ascii="Century Schoolbook" w:hAnsi="Century Schoolbook" w:cs="Calibri"/>
          <w:b/>
          <w:bCs/>
          <w:spacing w:val="20"/>
        </w:rPr>
      </w:pPr>
    </w:p>
    <w:p w14:paraId="4B7E428D" w14:textId="45CBF882" w:rsidR="00AC7C4F" w:rsidRDefault="00AC7C4F" w:rsidP="00101965">
      <w:pPr>
        <w:pStyle w:val="paragraph"/>
        <w:spacing w:before="0" w:beforeAutospacing="0" w:after="0" w:afterAutospacing="0" w:line="480" w:lineRule="auto"/>
        <w:jc w:val="center"/>
        <w:textAlignment w:val="baseline"/>
        <w:rPr>
          <w:rStyle w:val="normaltextrun"/>
          <w:rFonts w:ascii="Century Schoolbook" w:hAnsi="Century Schoolbook" w:cs="Calibri"/>
          <w:b/>
          <w:bCs/>
          <w:spacing w:val="20"/>
        </w:rPr>
      </w:pPr>
    </w:p>
    <w:p w14:paraId="11BEE3A8" w14:textId="5BB26A38" w:rsidR="00676913" w:rsidRDefault="00A8151B" w:rsidP="00101965">
      <w:pPr>
        <w:pStyle w:val="paragraph"/>
        <w:spacing w:before="0" w:beforeAutospacing="0" w:after="0" w:afterAutospacing="0" w:line="480" w:lineRule="auto"/>
        <w:jc w:val="center"/>
        <w:textAlignment w:val="baseline"/>
        <w:rPr>
          <w:rStyle w:val="normaltextrun"/>
          <w:rFonts w:ascii="Century Schoolbook" w:hAnsi="Century Schoolbook" w:cs="Calibri"/>
          <w:b/>
          <w:bCs/>
          <w:spacing w:val="20"/>
        </w:rPr>
      </w:pPr>
      <w:r w:rsidRPr="00A8151B">
        <w:rPr>
          <w:rStyle w:val="normaltextrun"/>
          <w:rFonts w:ascii="Century Schoolbook" w:hAnsi="Century Schoolbook" w:cs="Calibri"/>
          <w:b/>
          <w:bCs/>
          <w:spacing w:val="20"/>
        </w:rPr>
        <w:t>Workers' Compensation Law Institute</w:t>
      </w:r>
    </w:p>
    <w:p w14:paraId="66A1DAA1" w14:textId="6E7F2BED" w:rsidR="003C1A08" w:rsidRPr="00101965" w:rsidRDefault="003C1A08" w:rsidP="00101965">
      <w:pPr>
        <w:pStyle w:val="paragraph"/>
        <w:spacing w:before="0" w:beforeAutospacing="0" w:after="0" w:afterAutospacing="0" w:line="480" w:lineRule="auto"/>
        <w:jc w:val="center"/>
        <w:textAlignment w:val="baseline"/>
        <w:rPr>
          <w:rStyle w:val="normaltextrun"/>
          <w:rFonts w:ascii="Century Schoolbook" w:hAnsi="Century Schoolbook" w:cs="Calibri"/>
          <w:b/>
          <w:bCs/>
          <w:spacing w:val="20"/>
        </w:rPr>
      </w:pPr>
      <w:r w:rsidRPr="003C1A08">
        <w:rPr>
          <w:rStyle w:val="normaltextrun"/>
          <w:rFonts w:ascii="Century Schoolbook" w:hAnsi="Century Schoolbook" w:cs="Calibri"/>
          <w:b/>
          <w:bCs/>
          <w:spacing w:val="20"/>
        </w:rPr>
        <w:t>October 7-9, 2021</w:t>
      </w:r>
    </w:p>
    <w:p w14:paraId="4CA8BA6F" w14:textId="59E81E6C" w:rsidR="00512053" w:rsidRDefault="00512053" w:rsidP="00A723DD">
      <w:pPr>
        <w:pStyle w:val="paragraph"/>
        <w:spacing w:before="0" w:beforeAutospacing="0" w:after="0" w:afterAutospacing="0" w:line="480" w:lineRule="auto"/>
        <w:jc w:val="center"/>
        <w:textAlignment w:val="baseline"/>
        <w:rPr>
          <w:rStyle w:val="normaltextrun"/>
          <w:rFonts w:ascii="Century Schoolbook" w:hAnsi="Century Schoolbook" w:cs="Calibri"/>
        </w:rPr>
      </w:pPr>
    </w:p>
    <w:p w14:paraId="38E407CD" w14:textId="1F0C12E6" w:rsidR="003F54ED" w:rsidRDefault="003F54ED" w:rsidP="00A723DD">
      <w:pPr>
        <w:pStyle w:val="paragraph"/>
        <w:spacing w:before="0" w:beforeAutospacing="0" w:after="0" w:afterAutospacing="0" w:line="480" w:lineRule="auto"/>
        <w:jc w:val="center"/>
        <w:textAlignment w:val="baseline"/>
        <w:rPr>
          <w:rStyle w:val="normaltextrun"/>
          <w:rFonts w:ascii="Century Schoolbook" w:hAnsi="Century Schoolbook" w:cs="Calibri"/>
        </w:rPr>
      </w:pPr>
    </w:p>
    <w:p w14:paraId="2D3DC9B6" w14:textId="367021E3" w:rsidR="003F54ED" w:rsidRDefault="003F54ED" w:rsidP="00A723DD">
      <w:pPr>
        <w:pStyle w:val="paragraph"/>
        <w:spacing w:before="0" w:beforeAutospacing="0" w:after="0" w:afterAutospacing="0" w:line="480" w:lineRule="auto"/>
        <w:jc w:val="center"/>
        <w:textAlignment w:val="baseline"/>
        <w:rPr>
          <w:rStyle w:val="normaltextrun"/>
          <w:rFonts w:ascii="Century Schoolbook" w:hAnsi="Century Schoolbook" w:cs="Calibri"/>
        </w:rPr>
      </w:pPr>
    </w:p>
    <w:p w14:paraId="06D0C1FB" w14:textId="11AE7CB9" w:rsidR="003F54ED" w:rsidRDefault="003F54ED" w:rsidP="00A723DD">
      <w:pPr>
        <w:pStyle w:val="paragraph"/>
        <w:spacing w:before="0" w:beforeAutospacing="0" w:after="0" w:afterAutospacing="0" w:line="480" w:lineRule="auto"/>
        <w:jc w:val="center"/>
        <w:textAlignment w:val="baseline"/>
        <w:rPr>
          <w:rStyle w:val="normaltextrun"/>
          <w:rFonts w:ascii="Century Schoolbook" w:hAnsi="Century Schoolbook" w:cs="Calibri"/>
        </w:rPr>
      </w:pPr>
    </w:p>
    <w:p w14:paraId="6DF38412" w14:textId="321E8F97" w:rsidR="003F54ED" w:rsidRDefault="003F54ED" w:rsidP="00A723DD">
      <w:pPr>
        <w:pStyle w:val="paragraph"/>
        <w:spacing w:before="0" w:beforeAutospacing="0" w:after="0" w:afterAutospacing="0" w:line="480" w:lineRule="auto"/>
        <w:jc w:val="center"/>
        <w:textAlignment w:val="baseline"/>
        <w:rPr>
          <w:rStyle w:val="normaltextrun"/>
          <w:rFonts w:ascii="Century Schoolbook" w:hAnsi="Century Schoolbook" w:cs="Calibri"/>
        </w:rPr>
      </w:pPr>
    </w:p>
    <w:p w14:paraId="597760CE" w14:textId="53C9AD94" w:rsidR="003F54ED" w:rsidRDefault="003F54ED" w:rsidP="00A723DD">
      <w:pPr>
        <w:pStyle w:val="paragraph"/>
        <w:spacing w:before="0" w:beforeAutospacing="0" w:after="0" w:afterAutospacing="0" w:line="480" w:lineRule="auto"/>
        <w:jc w:val="center"/>
        <w:textAlignment w:val="baseline"/>
        <w:rPr>
          <w:rStyle w:val="normaltextrun"/>
          <w:rFonts w:ascii="Century Schoolbook" w:hAnsi="Century Schoolbook" w:cs="Calibri"/>
        </w:rPr>
      </w:pPr>
    </w:p>
    <w:p w14:paraId="7B14F26F" w14:textId="6DA58D33" w:rsidR="003F54ED" w:rsidRDefault="003F54ED" w:rsidP="00A723DD">
      <w:pPr>
        <w:pStyle w:val="paragraph"/>
        <w:spacing w:before="0" w:beforeAutospacing="0" w:after="0" w:afterAutospacing="0" w:line="480" w:lineRule="auto"/>
        <w:jc w:val="center"/>
        <w:textAlignment w:val="baseline"/>
        <w:rPr>
          <w:rStyle w:val="normaltextrun"/>
          <w:rFonts w:ascii="Century Schoolbook" w:hAnsi="Century Schoolbook" w:cs="Calibri"/>
        </w:rPr>
      </w:pPr>
    </w:p>
    <w:p w14:paraId="458AE5F2" w14:textId="26220301" w:rsidR="00A723DD" w:rsidRPr="00101965" w:rsidRDefault="00A723DD" w:rsidP="00FF24A3">
      <w:pPr>
        <w:pStyle w:val="paragraph"/>
        <w:spacing w:before="0" w:beforeAutospacing="0" w:after="0" w:afterAutospacing="0" w:line="480" w:lineRule="auto"/>
        <w:textAlignment w:val="baseline"/>
        <w:rPr>
          <w:rStyle w:val="normaltextrun"/>
          <w:rFonts w:ascii="Century Schoolbook" w:hAnsi="Century Schoolbook" w:cs="Calibri"/>
        </w:rPr>
      </w:pPr>
      <w:r w:rsidRPr="001F599F">
        <w:rPr>
          <w:rStyle w:val="normaltextrun"/>
          <w:rFonts w:ascii="Century Schoolbook" w:hAnsi="Century Schoolbook" w:cs="Calibri"/>
        </w:rPr>
        <w:lastRenderedPageBreak/>
        <w:t>DEFINITIONS</w:t>
      </w:r>
      <w:r w:rsidR="00101965">
        <w:rPr>
          <w:rStyle w:val="normaltextrun"/>
          <w:rFonts w:ascii="Century Schoolbook" w:hAnsi="Century Schoolbook" w:cs="Calibri"/>
        </w:rPr>
        <w:t>-</w:t>
      </w:r>
    </w:p>
    <w:p w14:paraId="5A7B2437" w14:textId="7059F14C" w:rsidR="00FF24A3" w:rsidRPr="001F599F" w:rsidRDefault="00FF24A3" w:rsidP="00FF24A3">
      <w:pPr>
        <w:pStyle w:val="paragraph"/>
        <w:spacing w:before="0" w:beforeAutospacing="0" w:after="0" w:afterAutospacing="0" w:line="480" w:lineRule="auto"/>
        <w:textAlignment w:val="baseline"/>
        <w:rPr>
          <w:rFonts w:ascii="Century Schoolbook" w:hAnsi="Century Schoolbook" w:cs="Segoe UI"/>
        </w:rPr>
      </w:pPr>
      <w:r w:rsidRPr="00A723DD">
        <w:rPr>
          <w:rStyle w:val="normaltextrun"/>
          <w:rFonts w:ascii="Century Schoolbook" w:hAnsi="Century Schoolbook" w:cs="Calibri"/>
          <w:b/>
          <w:bCs/>
        </w:rPr>
        <w:t>Arising out of employment</w:t>
      </w:r>
      <w:r w:rsidRPr="001F599F">
        <w:rPr>
          <w:rStyle w:val="eop"/>
          <w:rFonts w:ascii="Century Schoolbook" w:hAnsi="Century Schoolbook" w:cs="Calibri"/>
        </w:rPr>
        <w:t> </w:t>
      </w:r>
      <w:r w:rsidR="00A723DD">
        <w:rPr>
          <w:rStyle w:val="eop"/>
          <w:rFonts w:ascii="Century Schoolbook" w:hAnsi="Century Schoolbook" w:cs="Calibri"/>
        </w:rPr>
        <w:t>-</w:t>
      </w:r>
      <w:r w:rsidR="00A723DD" w:rsidRPr="00A723DD">
        <w:t xml:space="preserve"> </w:t>
      </w:r>
      <w:r w:rsidR="00A723DD" w:rsidRPr="00A723DD">
        <w:rPr>
          <w:rStyle w:val="eop"/>
          <w:rFonts w:ascii="Century Schoolbook" w:hAnsi="Century Schoolbook" w:cs="Calibri"/>
        </w:rPr>
        <w:t xml:space="preserve">"The words ‘arising out of’ mean that there must be some causal connection between the conditions under which the employee worked and the injury which he received." </w:t>
      </w:r>
      <w:r w:rsidR="00A723DD" w:rsidRPr="00AC66E9">
        <w:rPr>
          <w:rStyle w:val="eop"/>
          <w:rFonts w:ascii="Century Schoolbook" w:hAnsi="Century Schoolbook" w:cs="Calibri"/>
          <w:i/>
          <w:iCs/>
        </w:rPr>
        <w:t>Thornton</w:t>
      </w:r>
      <w:r w:rsidR="00A723DD" w:rsidRPr="00A723DD">
        <w:rPr>
          <w:rStyle w:val="eop"/>
          <w:rFonts w:ascii="Century Schoolbook" w:hAnsi="Century Schoolbook" w:cs="Calibri"/>
        </w:rPr>
        <w:t>, 198 Ga. at 792-793, 32 S.E.2d 816</w:t>
      </w:r>
      <w:r w:rsidR="00A723DD">
        <w:rPr>
          <w:rStyle w:val="eop"/>
          <w:rFonts w:ascii="Century Schoolbook" w:hAnsi="Century Schoolbook" w:cs="Calibri"/>
        </w:rPr>
        <w:t>.</w:t>
      </w:r>
    </w:p>
    <w:p w14:paraId="4129381C" w14:textId="00DCC238" w:rsidR="00FF24A3" w:rsidRDefault="00FF24A3" w:rsidP="00A723DD">
      <w:pPr>
        <w:pStyle w:val="paragraph"/>
        <w:spacing w:after="0" w:line="480" w:lineRule="auto"/>
        <w:textAlignment w:val="baseline"/>
        <w:rPr>
          <w:rStyle w:val="eop"/>
          <w:rFonts w:ascii="Century Schoolbook" w:hAnsi="Century Schoolbook" w:cs="Calibri"/>
        </w:rPr>
      </w:pPr>
      <w:r w:rsidRPr="00A723DD">
        <w:rPr>
          <w:rStyle w:val="normaltextrun"/>
          <w:rFonts w:ascii="Century Schoolbook" w:hAnsi="Century Schoolbook" w:cs="Calibri"/>
          <w:b/>
          <w:bCs/>
        </w:rPr>
        <w:t>Arising in the course of employment</w:t>
      </w:r>
      <w:r w:rsidRPr="00A723DD">
        <w:rPr>
          <w:rStyle w:val="eop"/>
          <w:rFonts w:ascii="Century Schoolbook" w:hAnsi="Century Schoolbook" w:cs="Calibri"/>
          <w:b/>
          <w:bCs/>
        </w:rPr>
        <w:t> </w:t>
      </w:r>
      <w:r w:rsidR="00A723DD">
        <w:rPr>
          <w:rStyle w:val="eop"/>
          <w:rFonts w:ascii="Century Schoolbook" w:hAnsi="Century Schoolbook" w:cs="Calibri"/>
        </w:rPr>
        <w:t>–</w:t>
      </w:r>
      <w:r w:rsidR="00A723DD" w:rsidRPr="00A723DD">
        <w:rPr>
          <w:rStyle w:val="eop"/>
          <w:rFonts w:ascii="Century Schoolbook" w:hAnsi="Century Schoolbook" w:cs="Calibri"/>
        </w:rPr>
        <w:t xml:space="preserve">An injury arises "in the course of" employment when it "occurs within the period of the employment, at a place where the employee may be in performance of her duties and while she is fulfilling or doing something incidental to those duties." </w:t>
      </w:r>
      <w:r w:rsidR="00A723DD" w:rsidRPr="00AC66E9">
        <w:rPr>
          <w:rStyle w:val="eop"/>
          <w:rFonts w:ascii="Century Schoolbook" w:hAnsi="Century Schoolbook" w:cs="Calibri"/>
          <w:i/>
          <w:iCs/>
        </w:rPr>
        <w:t xml:space="preserve">Hennly v. Richardson, </w:t>
      </w:r>
      <w:r w:rsidR="00A723DD" w:rsidRPr="00A723DD">
        <w:rPr>
          <w:rStyle w:val="eop"/>
          <w:rFonts w:ascii="Century Schoolbook" w:hAnsi="Century Schoolbook" w:cs="Calibri"/>
        </w:rPr>
        <w:t xml:space="preserve">264 Ga. 355, 356 (1), 444 S.E.2d 317 (1994). </w:t>
      </w:r>
      <w:r w:rsidR="00A723DD">
        <w:rPr>
          <w:rStyle w:val="eop"/>
          <w:rFonts w:ascii="Century Schoolbook" w:hAnsi="Century Schoolbook" w:cs="Calibri"/>
        </w:rPr>
        <w:t>I</w:t>
      </w:r>
      <w:r w:rsidR="00A723DD" w:rsidRPr="00A723DD">
        <w:rPr>
          <w:rStyle w:val="eop"/>
          <w:rFonts w:ascii="Century Schoolbook" w:hAnsi="Century Schoolbook" w:cs="Calibri"/>
        </w:rPr>
        <w:t xml:space="preserve">njuries occurring "in the course of" employment certainly include injuries sustained when an employee is </w:t>
      </w:r>
      <w:r w:rsidR="008951D2" w:rsidRPr="00A723DD">
        <w:rPr>
          <w:rStyle w:val="eop"/>
          <w:rFonts w:ascii="Century Schoolbook" w:hAnsi="Century Schoolbook" w:cs="Calibri"/>
        </w:rPr>
        <w:t>engaged</w:t>
      </w:r>
      <w:r w:rsidR="00A723DD" w:rsidRPr="00A723DD">
        <w:rPr>
          <w:rStyle w:val="eop"/>
          <w:rFonts w:ascii="Century Schoolbook" w:hAnsi="Century Schoolbook" w:cs="Calibri"/>
        </w:rPr>
        <w:t xml:space="preserve"> in the performance of her assigned work, but they also include injuries sustained when the employee is engaged in activities "incidental" to her assigned work. Such incidental activities include, among other things, ingress and egress to the place of work while on the employer's premises.</w:t>
      </w:r>
      <w:r w:rsidR="00A723DD">
        <w:rPr>
          <w:rStyle w:val="eop"/>
          <w:rFonts w:ascii="Century Schoolbook" w:hAnsi="Century Schoolbook" w:cs="Calibri"/>
        </w:rPr>
        <w:t xml:space="preserve"> </w:t>
      </w:r>
      <w:r w:rsidR="00A723DD" w:rsidRPr="00AC66E9">
        <w:rPr>
          <w:rStyle w:val="eop"/>
          <w:rFonts w:ascii="Century Schoolbook" w:hAnsi="Century Schoolbook" w:cs="Calibri"/>
          <w:i/>
          <w:iCs/>
        </w:rPr>
        <w:t>Frett v. State Farm Emp. Workers' Comp</w:t>
      </w:r>
      <w:r w:rsidR="00A723DD" w:rsidRPr="00A723DD">
        <w:rPr>
          <w:rStyle w:val="eop"/>
          <w:rFonts w:ascii="Century Schoolbook" w:hAnsi="Century Schoolbook" w:cs="Calibri"/>
        </w:rPr>
        <w:t>., 309 Ga. 44, 844 S.E.2d 749 (Ga. 2020)</w:t>
      </w:r>
    </w:p>
    <w:p w14:paraId="32D5298A" w14:textId="7C43585F" w:rsidR="00A723DD" w:rsidRPr="00A723DD" w:rsidRDefault="00A723DD" w:rsidP="00A723DD">
      <w:pPr>
        <w:pStyle w:val="paragraph"/>
        <w:spacing w:before="0" w:beforeAutospacing="0" w:after="0" w:afterAutospacing="0" w:line="480" w:lineRule="auto"/>
        <w:textAlignment w:val="baseline"/>
        <w:rPr>
          <w:rFonts w:ascii="Century Schoolbook" w:hAnsi="Century Schoolbook" w:cs="Segoe UI"/>
          <w:b/>
          <w:bCs/>
        </w:rPr>
      </w:pPr>
      <w:r w:rsidRPr="001716C7">
        <w:rPr>
          <w:rStyle w:val="normaltextrun"/>
          <w:rFonts w:ascii="Century Schoolbook" w:hAnsi="Century Schoolbook" w:cs="Calibri"/>
          <w:b/>
          <w:bCs/>
        </w:rPr>
        <w:t>The Ingress and Egress Rule</w:t>
      </w:r>
      <w:r w:rsidRPr="001716C7">
        <w:rPr>
          <w:rStyle w:val="eop"/>
          <w:rFonts w:ascii="Century Schoolbook" w:hAnsi="Century Schoolbook" w:cs="Calibri"/>
          <w:b/>
          <w:bCs/>
        </w:rPr>
        <w:t> </w:t>
      </w:r>
      <w:r w:rsidR="00217E21" w:rsidRPr="001716C7">
        <w:rPr>
          <w:rStyle w:val="eop"/>
          <w:rFonts w:ascii="Century Schoolbook" w:hAnsi="Century Schoolbook" w:cs="Calibri"/>
          <w:b/>
          <w:bCs/>
        </w:rPr>
        <w:t xml:space="preserve">– </w:t>
      </w:r>
      <w:r w:rsidR="00217E21" w:rsidRPr="00093CBB">
        <w:rPr>
          <w:rStyle w:val="normaltextrun"/>
          <w:rFonts w:ascii="Century Schoolbook" w:hAnsi="Century Schoolbook" w:cs="Calibri"/>
        </w:rPr>
        <w:t>An</w:t>
      </w:r>
      <w:r w:rsidR="00093CBB" w:rsidRPr="00093CBB">
        <w:rPr>
          <w:rStyle w:val="normaltextrun"/>
          <w:rFonts w:ascii="Century Schoolbook" w:hAnsi="Century Schoolbook" w:cs="Calibri"/>
        </w:rPr>
        <w:t xml:space="preserve"> employee is allowed a reasonable time for egress from the immediate place of work during which she remains in the course of her employment.</w:t>
      </w:r>
      <w:r w:rsidR="00203616">
        <w:rPr>
          <w:rStyle w:val="normaltextrun"/>
          <w:rFonts w:ascii="Century Schoolbook" w:hAnsi="Century Schoolbook" w:cs="Calibri"/>
        </w:rPr>
        <w:t xml:space="preserve"> </w:t>
      </w:r>
      <w:r w:rsidR="00203616" w:rsidRPr="00F94C44">
        <w:rPr>
          <w:rStyle w:val="normaltextrun"/>
          <w:rFonts w:ascii="Century Schoolbook" w:hAnsi="Century Schoolbook" w:cs="Calibri"/>
          <w:i/>
          <w:iCs/>
        </w:rPr>
        <w:t xml:space="preserve">West Point Pepperell v. </w:t>
      </w:r>
      <w:r w:rsidR="00804910" w:rsidRPr="00F94C44">
        <w:rPr>
          <w:rStyle w:val="normaltextrun"/>
          <w:rFonts w:ascii="Century Schoolbook" w:hAnsi="Century Schoolbook" w:cs="Calibri"/>
          <w:i/>
          <w:iCs/>
        </w:rPr>
        <w:t>McEntire</w:t>
      </w:r>
      <w:r w:rsidR="00804910" w:rsidRPr="00093CBB">
        <w:rPr>
          <w:rStyle w:val="normaltextrun"/>
          <w:rFonts w:ascii="Century Schoolbook" w:hAnsi="Century Schoolbook" w:cs="Calibri"/>
        </w:rPr>
        <w:t>,</w:t>
      </w:r>
      <w:r w:rsidR="00203616" w:rsidRPr="00093CBB">
        <w:rPr>
          <w:rStyle w:val="normaltextrun"/>
          <w:rFonts w:ascii="Century Schoolbook" w:hAnsi="Century Schoolbook" w:cs="Calibri"/>
        </w:rPr>
        <w:t xml:space="preserve"> 150 Ga. App. 728 (1), 258 S.E.2d 530 (1979)</w:t>
      </w:r>
      <w:r w:rsidR="00203616">
        <w:rPr>
          <w:rStyle w:val="normaltextrun"/>
          <w:rFonts w:ascii="Century Schoolbook" w:hAnsi="Century Schoolbook" w:cs="Calibri"/>
        </w:rPr>
        <w:t>.</w:t>
      </w:r>
      <w:r w:rsidR="00203616" w:rsidRPr="00093CBB">
        <w:rPr>
          <w:rStyle w:val="normaltextrun"/>
          <w:rFonts w:ascii="Century Schoolbook" w:hAnsi="Century Schoolbook" w:cs="Calibri"/>
        </w:rPr>
        <w:t xml:space="preserve"> </w:t>
      </w:r>
      <w:r w:rsidR="00093CBB" w:rsidRPr="00093CBB">
        <w:rPr>
          <w:rStyle w:val="normaltextrun"/>
          <w:rFonts w:ascii="Century Schoolbook" w:hAnsi="Century Schoolbook" w:cs="Calibri"/>
        </w:rPr>
        <w:t xml:space="preserve"> </w:t>
      </w:r>
      <w:r w:rsidR="00203616">
        <w:rPr>
          <w:rStyle w:val="normaltextrun"/>
          <w:rFonts w:ascii="Century Schoolbook" w:hAnsi="Century Schoolbook" w:cs="Calibri"/>
        </w:rPr>
        <w:t>T</w:t>
      </w:r>
      <w:r w:rsidR="00DC0CED" w:rsidRPr="00DC0CED">
        <w:rPr>
          <w:rStyle w:val="normaltextrun"/>
          <w:rFonts w:ascii="Century Schoolbook" w:hAnsi="Century Schoolbook" w:cs="Calibri"/>
        </w:rPr>
        <w:t xml:space="preserve">he ingress and egress rule was expressly created to cover injuries that are acts preparatory to entering or leaving the employment but not strictly in </w:t>
      </w:r>
      <w:r w:rsidR="00DC0CED" w:rsidRPr="00DC0CED">
        <w:rPr>
          <w:rStyle w:val="normaltextrun"/>
          <w:rFonts w:ascii="Century Schoolbook" w:hAnsi="Century Schoolbook" w:cs="Calibri"/>
        </w:rPr>
        <w:lastRenderedPageBreak/>
        <w:t xml:space="preserve">furtherance of it. </w:t>
      </w:r>
      <w:r w:rsidR="00DC0CED" w:rsidRPr="00F94C44">
        <w:rPr>
          <w:rStyle w:val="normaltextrun"/>
          <w:rFonts w:ascii="Century Schoolbook" w:hAnsi="Century Schoolbook" w:cs="Calibri"/>
          <w:i/>
          <w:iCs/>
        </w:rPr>
        <w:t>General Acc. Fire &amp; Life Assur. Corp. v. Worley</w:t>
      </w:r>
      <w:r w:rsidR="00DC0CED" w:rsidRPr="00DC0CED">
        <w:rPr>
          <w:rStyle w:val="normaltextrun"/>
          <w:rFonts w:ascii="Century Schoolbook" w:hAnsi="Century Schoolbook" w:cs="Calibri"/>
        </w:rPr>
        <w:t>, 72 S.E.2d 560, 86 Ga.</w:t>
      </w:r>
      <w:r w:rsidR="00804910">
        <w:rPr>
          <w:rStyle w:val="normaltextrun"/>
          <w:rFonts w:ascii="Century Schoolbook" w:hAnsi="Century Schoolbook" w:cs="Calibri"/>
        </w:rPr>
        <w:t xml:space="preserve"> </w:t>
      </w:r>
      <w:r w:rsidR="00DC0CED" w:rsidRPr="00DC0CED">
        <w:rPr>
          <w:rStyle w:val="normaltextrun"/>
          <w:rFonts w:ascii="Century Schoolbook" w:hAnsi="Century Schoolbook" w:cs="Calibri"/>
        </w:rPr>
        <w:t>App. 794 (Ga. App., 1952).</w:t>
      </w:r>
    </w:p>
    <w:p w14:paraId="7E39B6C0" w14:textId="3058FFEB" w:rsidR="00A723DD" w:rsidRDefault="00FF24A3" w:rsidP="001716C7">
      <w:pPr>
        <w:pStyle w:val="paragraph"/>
        <w:spacing w:after="0" w:line="480" w:lineRule="auto"/>
        <w:textAlignment w:val="baseline"/>
        <w:rPr>
          <w:rStyle w:val="eop"/>
          <w:rFonts w:ascii="Century Schoolbook" w:hAnsi="Century Schoolbook" w:cs="Calibri"/>
        </w:rPr>
      </w:pPr>
      <w:r w:rsidRPr="00A723DD">
        <w:rPr>
          <w:rStyle w:val="normaltextrun"/>
          <w:rFonts w:ascii="Century Schoolbook" w:hAnsi="Century Schoolbook" w:cs="Calibri"/>
          <w:b/>
          <w:bCs/>
        </w:rPr>
        <w:t>Premises</w:t>
      </w:r>
      <w:r w:rsidRPr="00A723DD">
        <w:rPr>
          <w:rStyle w:val="eop"/>
          <w:rFonts w:ascii="Century Schoolbook" w:hAnsi="Century Schoolbook" w:cs="Calibri"/>
          <w:b/>
          <w:bCs/>
        </w:rPr>
        <w:t> </w:t>
      </w:r>
      <w:r w:rsidR="00A723DD">
        <w:rPr>
          <w:rStyle w:val="eop"/>
          <w:rFonts w:ascii="Century Schoolbook" w:hAnsi="Century Schoolbook" w:cs="Calibri"/>
        </w:rPr>
        <w:t>–</w:t>
      </w:r>
      <w:r w:rsidR="000F3859">
        <w:rPr>
          <w:rStyle w:val="eop"/>
          <w:rFonts w:ascii="Century Schoolbook" w:hAnsi="Century Schoolbook" w:cs="Calibri"/>
        </w:rPr>
        <w:t xml:space="preserve"> </w:t>
      </w:r>
      <w:r w:rsidR="00A723DD">
        <w:rPr>
          <w:rStyle w:val="eop"/>
          <w:rFonts w:ascii="Century Schoolbook" w:hAnsi="Century Schoolbook" w:cs="Calibri"/>
        </w:rPr>
        <w:t>This includes the entire area devoted to the employer with which the employee is associated. The I</w:t>
      </w:r>
      <w:r w:rsidR="00A723DD" w:rsidRPr="00A723DD">
        <w:rPr>
          <w:rStyle w:val="eop"/>
          <w:rFonts w:ascii="Century Schoolbook" w:hAnsi="Century Schoolbook" w:cs="Calibri"/>
        </w:rPr>
        <w:t>ngress/egress exception will apply if the area where the claimant is injured is an area (1) limited (or very nearly so) to the respondent business, even if the business's right to the area is merely a leasehold interest or some other non-exclusive access;</w:t>
      </w:r>
      <w:r w:rsidR="00650474">
        <w:rPr>
          <w:rStyle w:val="eop"/>
          <w:rFonts w:ascii="Century Schoolbook" w:hAnsi="Century Schoolbook" w:cs="Calibri"/>
        </w:rPr>
        <w:t xml:space="preserve"> </w:t>
      </w:r>
      <w:r w:rsidR="00A723DD" w:rsidRPr="00A723DD">
        <w:rPr>
          <w:rStyle w:val="eop"/>
          <w:rFonts w:ascii="Century Schoolbook" w:hAnsi="Century Schoolbook" w:cs="Calibri"/>
        </w:rPr>
        <w:t>or (2) owned,</w:t>
      </w:r>
      <w:r w:rsidR="00A723DD">
        <w:rPr>
          <w:rStyle w:val="eop"/>
          <w:rFonts w:ascii="Century Schoolbook" w:hAnsi="Century Schoolbook" w:cs="Calibri"/>
        </w:rPr>
        <w:t xml:space="preserve"> </w:t>
      </w:r>
      <w:r w:rsidR="00A723DD" w:rsidRPr="00A723DD">
        <w:rPr>
          <w:rStyle w:val="eop"/>
          <w:rFonts w:ascii="Century Schoolbook" w:hAnsi="Century Schoolbook" w:cs="Calibri"/>
        </w:rPr>
        <w:t>maintained, or controlled by the business, even though the area is heavily traversed by the public without connection to the business</w:t>
      </w:r>
      <w:r w:rsidR="00A723DD">
        <w:rPr>
          <w:rStyle w:val="eop"/>
          <w:rFonts w:ascii="Century Schoolbook" w:hAnsi="Century Schoolbook" w:cs="Calibri"/>
        </w:rPr>
        <w:t xml:space="preserve">. </w:t>
      </w:r>
      <w:r w:rsidR="00A723DD" w:rsidRPr="00F94C44">
        <w:rPr>
          <w:rStyle w:val="eop"/>
          <w:rFonts w:ascii="Century Schoolbook" w:hAnsi="Century Schoolbook" w:cs="Calibri"/>
          <w:i/>
          <w:iCs/>
        </w:rPr>
        <w:t>Bonner-Hill v. Southland Waste Sys. of Ga., Inc</w:t>
      </w:r>
      <w:r w:rsidR="00A723DD" w:rsidRPr="00A723DD">
        <w:rPr>
          <w:rStyle w:val="eop"/>
          <w:rFonts w:ascii="Century Schoolbook" w:hAnsi="Century Schoolbook" w:cs="Calibri"/>
        </w:rPr>
        <w:t>., 330 Ga.</w:t>
      </w:r>
      <w:r w:rsidR="00804910">
        <w:rPr>
          <w:rStyle w:val="eop"/>
          <w:rFonts w:ascii="Century Schoolbook" w:hAnsi="Century Schoolbook" w:cs="Calibri"/>
        </w:rPr>
        <w:t xml:space="preserve"> </w:t>
      </w:r>
      <w:r w:rsidR="00A723DD" w:rsidRPr="00A723DD">
        <w:rPr>
          <w:rStyle w:val="eop"/>
          <w:rFonts w:ascii="Century Schoolbook" w:hAnsi="Century Schoolbook" w:cs="Calibri"/>
        </w:rPr>
        <w:t>App. 151, 767 S.E.2d 803 (Ga. App. 2014)</w:t>
      </w:r>
    </w:p>
    <w:p w14:paraId="39BB679B" w14:textId="77777777" w:rsidR="00350E64" w:rsidRPr="001F599F" w:rsidRDefault="00350E64" w:rsidP="00350E64">
      <w:pPr>
        <w:pStyle w:val="paragraph"/>
        <w:spacing w:before="0" w:beforeAutospacing="0" w:after="0" w:afterAutospacing="0" w:line="480" w:lineRule="auto"/>
        <w:textAlignment w:val="baseline"/>
        <w:rPr>
          <w:rFonts w:ascii="Century Schoolbook" w:hAnsi="Century Schoolbook" w:cs="Segoe UI"/>
        </w:rPr>
      </w:pPr>
      <w:r w:rsidRPr="001716C7">
        <w:rPr>
          <w:rStyle w:val="eop"/>
          <w:rFonts w:ascii="Century Schoolbook" w:hAnsi="Century Schoolbook" w:cs="Calibri"/>
          <w:b/>
          <w:bCs/>
        </w:rPr>
        <w:t xml:space="preserve">Personal comfort doctrine </w:t>
      </w:r>
      <w:r>
        <w:rPr>
          <w:rStyle w:val="eop"/>
          <w:rFonts w:ascii="Century Schoolbook" w:hAnsi="Century Schoolbook" w:cs="Calibri"/>
        </w:rPr>
        <w:t xml:space="preserve">- </w:t>
      </w:r>
      <w:r w:rsidRPr="001F599F">
        <w:rPr>
          <w:rStyle w:val="normaltextrun"/>
          <w:rFonts w:ascii="Century Schoolbook" w:hAnsi="Century Schoolbook" w:cs="Calibri"/>
        </w:rPr>
        <w:t>"Acts of ministration by a servant to himself, such as quenching his thirst [or] relieving his hunger, are incidents to his employment and acts of service therein within the [296 Ga. App. 231] workmen's compensation acts, though they are only indirectly conducive to the purpose of the employment</w:t>
      </w:r>
      <w:r w:rsidRPr="00F94C44">
        <w:rPr>
          <w:rStyle w:val="normaltextrun"/>
          <w:rFonts w:ascii="Century Schoolbook" w:hAnsi="Century Schoolbook" w:cs="Calibri"/>
          <w:i/>
          <w:iCs/>
        </w:rPr>
        <w:t>." Harris v. Peach County Bd. of Com'Rs</w:t>
      </w:r>
      <w:r w:rsidRPr="001F599F">
        <w:rPr>
          <w:rStyle w:val="normaltextrun"/>
          <w:rFonts w:ascii="Century Schoolbook" w:hAnsi="Century Schoolbook" w:cs="Calibri"/>
        </w:rPr>
        <w:t>, 674 S.E.2d 36, 296 Ga. App. 225 (Ga. App. 2009)</w:t>
      </w:r>
      <w:r w:rsidRPr="001F599F">
        <w:rPr>
          <w:rStyle w:val="eop"/>
          <w:rFonts w:ascii="Century Schoolbook" w:hAnsi="Century Schoolbook" w:cs="Calibri"/>
        </w:rPr>
        <w:t> </w:t>
      </w:r>
    </w:p>
    <w:p w14:paraId="22242C54" w14:textId="77777777" w:rsidR="00101965" w:rsidRDefault="00101965" w:rsidP="00603C62">
      <w:pPr>
        <w:pStyle w:val="paragraph"/>
        <w:spacing w:before="0" w:beforeAutospacing="0" w:after="0" w:afterAutospacing="0" w:line="480" w:lineRule="auto"/>
        <w:ind w:firstLine="720"/>
        <w:jc w:val="center"/>
        <w:textAlignment w:val="baseline"/>
        <w:rPr>
          <w:rStyle w:val="normaltextrun"/>
          <w:rFonts w:ascii="Century Schoolbook" w:hAnsi="Century Schoolbook" w:cs="Calibri"/>
          <w:b/>
          <w:bCs/>
        </w:rPr>
      </w:pPr>
    </w:p>
    <w:p w14:paraId="0FCC93E5" w14:textId="184F29DF" w:rsidR="00101965" w:rsidRDefault="00101965" w:rsidP="00603C62">
      <w:pPr>
        <w:pStyle w:val="paragraph"/>
        <w:spacing w:before="0" w:beforeAutospacing="0" w:after="0" w:afterAutospacing="0" w:line="480" w:lineRule="auto"/>
        <w:ind w:firstLine="720"/>
        <w:jc w:val="center"/>
        <w:textAlignment w:val="baseline"/>
        <w:rPr>
          <w:rStyle w:val="normaltextrun"/>
          <w:rFonts w:ascii="Century Schoolbook" w:hAnsi="Century Schoolbook" w:cs="Calibri"/>
          <w:b/>
          <w:bCs/>
        </w:rPr>
      </w:pPr>
    </w:p>
    <w:p w14:paraId="30061C11" w14:textId="756F79A9" w:rsidR="00867AF7" w:rsidRDefault="00867AF7" w:rsidP="00603C62">
      <w:pPr>
        <w:pStyle w:val="paragraph"/>
        <w:spacing w:before="0" w:beforeAutospacing="0" w:after="0" w:afterAutospacing="0" w:line="480" w:lineRule="auto"/>
        <w:ind w:firstLine="720"/>
        <w:jc w:val="center"/>
        <w:textAlignment w:val="baseline"/>
        <w:rPr>
          <w:rStyle w:val="normaltextrun"/>
          <w:rFonts w:ascii="Century Schoolbook" w:hAnsi="Century Schoolbook" w:cs="Calibri"/>
          <w:b/>
          <w:bCs/>
        </w:rPr>
      </w:pPr>
    </w:p>
    <w:p w14:paraId="509B3F28" w14:textId="6ED2B79F" w:rsidR="00867AF7" w:rsidRDefault="00867AF7" w:rsidP="00603C62">
      <w:pPr>
        <w:pStyle w:val="paragraph"/>
        <w:spacing w:before="0" w:beforeAutospacing="0" w:after="0" w:afterAutospacing="0" w:line="480" w:lineRule="auto"/>
        <w:ind w:firstLine="720"/>
        <w:jc w:val="center"/>
        <w:textAlignment w:val="baseline"/>
        <w:rPr>
          <w:rStyle w:val="normaltextrun"/>
          <w:rFonts w:ascii="Century Schoolbook" w:hAnsi="Century Schoolbook" w:cs="Calibri"/>
          <w:b/>
          <w:bCs/>
        </w:rPr>
      </w:pPr>
    </w:p>
    <w:p w14:paraId="24DB43A7" w14:textId="77777777" w:rsidR="00867AF7" w:rsidRDefault="00867AF7" w:rsidP="00603C62">
      <w:pPr>
        <w:pStyle w:val="paragraph"/>
        <w:spacing w:before="0" w:beforeAutospacing="0" w:after="0" w:afterAutospacing="0" w:line="480" w:lineRule="auto"/>
        <w:ind w:firstLine="720"/>
        <w:jc w:val="center"/>
        <w:textAlignment w:val="baseline"/>
        <w:rPr>
          <w:rStyle w:val="normaltextrun"/>
          <w:rFonts w:ascii="Century Schoolbook" w:hAnsi="Century Schoolbook" w:cs="Calibri"/>
          <w:b/>
          <w:bCs/>
        </w:rPr>
      </w:pPr>
    </w:p>
    <w:p w14:paraId="52E33C8B" w14:textId="60C56550" w:rsidR="00603C62" w:rsidRPr="00101965" w:rsidRDefault="00453605" w:rsidP="00603C62">
      <w:pPr>
        <w:pStyle w:val="paragraph"/>
        <w:spacing w:before="0" w:beforeAutospacing="0" w:after="0" w:afterAutospacing="0" w:line="480" w:lineRule="auto"/>
        <w:ind w:firstLine="720"/>
        <w:jc w:val="center"/>
        <w:textAlignment w:val="baseline"/>
        <w:rPr>
          <w:rStyle w:val="normaltextrun"/>
          <w:rFonts w:ascii="Century Schoolbook" w:hAnsi="Century Schoolbook" w:cs="Calibri"/>
          <w:spacing w:val="20"/>
        </w:rPr>
      </w:pPr>
      <w:r w:rsidRPr="00101965">
        <w:rPr>
          <w:rStyle w:val="normaltextrun"/>
          <w:rFonts w:ascii="Century Schoolbook" w:hAnsi="Century Schoolbook" w:cs="Calibri"/>
          <w:spacing w:val="20"/>
        </w:rPr>
        <w:lastRenderedPageBreak/>
        <w:t>BRIEF</w:t>
      </w:r>
      <w:r w:rsidR="00603C62" w:rsidRPr="00101965">
        <w:rPr>
          <w:rStyle w:val="normaltextrun"/>
          <w:rFonts w:ascii="Century Schoolbook" w:hAnsi="Century Schoolbook" w:cs="Calibri"/>
          <w:spacing w:val="20"/>
        </w:rPr>
        <w:t xml:space="preserve"> </w:t>
      </w:r>
      <w:r w:rsidR="00CF6AF7" w:rsidRPr="00101965">
        <w:rPr>
          <w:rStyle w:val="normaltextrun"/>
          <w:rFonts w:ascii="Century Schoolbook" w:hAnsi="Century Schoolbook" w:cs="Calibri"/>
          <w:spacing w:val="20"/>
        </w:rPr>
        <w:t xml:space="preserve">HISTORICAL </w:t>
      </w:r>
      <w:r w:rsidR="00603C62" w:rsidRPr="00101965">
        <w:rPr>
          <w:rStyle w:val="normaltextrun"/>
          <w:rFonts w:ascii="Century Schoolbook" w:hAnsi="Century Schoolbook" w:cs="Calibri"/>
          <w:spacing w:val="20"/>
        </w:rPr>
        <w:t>BACKGROUND OF</w:t>
      </w:r>
      <w:r w:rsidR="00CF6AF7" w:rsidRPr="00101965">
        <w:rPr>
          <w:rStyle w:val="normaltextrun"/>
          <w:rFonts w:ascii="Century Schoolbook" w:hAnsi="Century Schoolbook" w:cs="Calibri"/>
          <w:spacing w:val="20"/>
        </w:rPr>
        <w:t xml:space="preserve"> THE</w:t>
      </w:r>
      <w:r w:rsidR="00603C62" w:rsidRPr="00101965">
        <w:rPr>
          <w:rStyle w:val="normaltextrun"/>
          <w:rFonts w:ascii="Century Schoolbook" w:hAnsi="Century Schoolbook" w:cs="Calibri"/>
          <w:spacing w:val="20"/>
        </w:rPr>
        <w:t xml:space="preserve"> “ARISING OUT OF” EMPLOYMENT REQUIREMENT</w:t>
      </w:r>
      <w:r w:rsidRPr="00101965">
        <w:rPr>
          <w:rStyle w:val="normaltextrun"/>
          <w:rFonts w:ascii="Century Schoolbook" w:hAnsi="Century Schoolbook" w:cs="Calibri"/>
          <w:spacing w:val="20"/>
        </w:rPr>
        <w:t xml:space="preserve"> AND SCHEDULED BREAKS</w:t>
      </w:r>
    </w:p>
    <w:p w14:paraId="72968439" w14:textId="77777777" w:rsidR="00603C62" w:rsidRDefault="00603C62" w:rsidP="00603C62">
      <w:pPr>
        <w:pStyle w:val="paragraph"/>
        <w:spacing w:before="0" w:beforeAutospacing="0" w:after="0" w:afterAutospacing="0" w:line="480" w:lineRule="auto"/>
        <w:ind w:firstLine="720"/>
        <w:textAlignment w:val="baseline"/>
        <w:rPr>
          <w:rStyle w:val="normaltextrun"/>
          <w:rFonts w:ascii="Century Schoolbook" w:hAnsi="Century Schoolbook" w:cs="Calibri"/>
        </w:rPr>
      </w:pPr>
    </w:p>
    <w:p w14:paraId="135B75D9" w14:textId="21E31AAC" w:rsidR="00603C62" w:rsidRPr="00C2530A" w:rsidRDefault="00603C62" w:rsidP="00603C62">
      <w:pPr>
        <w:pStyle w:val="paragraph"/>
        <w:spacing w:before="0" w:beforeAutospacing="0" w:after="0" w:afterAutospacing="0" w:line="480" w:lineRule="auto"/>
        <w:ind w:firstLine="720"/>
        <w:textAlignment w:val="baseline"/>
        <w:rPr>
          <w:rStyle w:val="eop"/>
          <w:rFonts w:ascii="Century Schoolbook" w:hAnsi="Century Schoolbook" w:cs="Calibri"/>
          <w:color w:val="000000"/>
        </w:rPr>
      </w:pPr>
      <w:r w:rsidRPr="001F599F">
        <w:rPr>
          <w:rStyle w:val="normaltextrun"/>
          <w:rFonts w:ascii="Century Schoolbook" w:hAnsi="Century Schoolbook" w:cs="Calibri"/>
          <w:color w:val="000000"/>
        </w:rPr>
        <w:t xml:space="preserve">The heart of every worker’s compensation act, and the source of most litigation in the compensation field, is the coverage formula. Although Workers Compensation is a statutory regime, forty-three states, and the Longshore and Harbor Workers’ Compensation Act have adopted the entire British Compensation </w:t>
      </w:r>
      <w:r w:rsidRPr="00C2530A">
        <w:rPr>
          <w:rStyle w:val="normaltextrun"/>
          <w:rFonts w:ascii="Century Schoolbook" w:hAnsi="Century Schoolbook" w:cs="Calibri"/>
          <w:color w:val="000000"/>
        </w:rPr>
        <w:t>Act (1897) formula: injury “arising out of and in the course of employment.”</w:t>
      </w:r>
      <w:r w:rsidR="00652AC6">
        <w:rPr>
          <w:rStyle w:val="FootnoteReference"/>
          <w:rFonts w:ascii="Century Schoolbook" w:hAnsi="Century Schoolbook" w:cs="Calibri"/>
          <w:color w:val="000000"/>
        </w:rPr>
        <w:footnoteReference w:id="2"/>
      </w:r>
      <w:r w:rsidRPr="00C2530A">
        <w:rPr>
          <w:rStyle w:val="normaltextrun"/>
          <w:rFonts w:ascii="Century Schoolbook" w:hAnsi="Century Schoolbook" w:cs="Calibri"/>
          <w:color w:val="000000"/>
        </w:rPr>
        <w:t xml:space="preserve"> In 1920, Georgia also adopted the British Compensation Act formula in its entirety, as roughly 40 states had already done. As the Georgia Court of Appeals noted in 1923, “volumes have been written in the opinions upon this clause [arising out of employment]” dating all the way back to the Workers’ Compensation Act of England.</w:t>
      </w:r>
      <w:r w:rsidR="007D6D45">
        <w:rPr>
          <w:rStyle w:val="FootnoteReference"/>
          <w:rFonts w:ascii="Century Schoolbook" w:hAnsi="Century Schoolbook" w:cs="Calibri"/>
          <w:color w:val="000000"/>
        </w:rPr>
        <w:footnoteReference w:id="3"/>
      </w:r>
      <w:r w:rsidRPr="00C2530A">
        <w:rPr>
          <w:rStyle w:val="normaltextrun"/>
          <w:rFonts w:ascii="Century Schoolbook" w:hAnsi="Century Schoolbook" w:cs="Calibri"/>
          <w:color w:val="000000"/>
        </w:rPr>
        <w:t xml:space="preserve"> </w:t>
      </w:r>
    </w:p>
    <w:p w14:paraId="36C4B21E" w14:textId="4992FD5A" w:rsidR="00603C62" w:rsidRPr="00542B2D" w:rsidRDefault="00603C62" w:rsidP="00603C62">
      <w:pPr>
        <w:pStyle w:val="paragraph"/>
        <w:spacing w:after="0" w:line="480" w:lineRule="auto"/>
        <w:ind w:firstLine="720"/>
        <w:textAlignment w:val="baseline"/>
        <w:rPr>
          <w:rStyle w:val="eop"/>
          <w:rFonts w:ascii="Century Schoolbook" w:hAnsi="Century Schoolbook" w:cs="Calibri"/>
        </w:rPr>
      </w:pPr>
      <w:r w:rsidRPr="00C2530A">
        <w:rPr>
          <w:rStyle w:val="normaltextrun"/>
          <w:rFonts w:ascii="Century Schoolbook" w:hAnsi="Century Schoolbook" w:cs="Calibri"/>
        </w:rPr>
        <w:t xml:space="preserve">O.C.G.A. § 34-9-1 states that the definition of a work injury is an accident </w:t>
      </w:r>
      <w:r w:rsidRPr="00C2530A">
        <w:rPr>
          <w:rStyle w:val="normaltextrun"/>
          <w:rFonts w:ascii="Century Schoolbook" w:hAnsi="Century Schoolbook" w:cs="Calibri"/>
          <w:i/>
          <w:iCs/>
        </w:rPr>
        <w:t>arising out of</w:t>
      </w:r>
      <w:r w:rsidRPr="00C2530A">
        <w:rPr>
          <w:rStyle w:val="normaltextrun"/>
          <w:rFonts w:ascii="Century Schoolbook" w:hAnsi="Century Schoolbook" w:cs="Calibri"/>
        </w:rPr>
        <w:t xml:space="preserve"> </w:t>
      </w:r>
      <w:r w:rsidRPr="00C2530A">
        <w:rPr>
          <w:rStyle w:val="normaltextrun"/>
          <w:rFonts w:ascii="Century Schoolbook" w:hAnsi="Century Schoolbook" w:cs="Calibri"/>
          <w:b/>
          <w:bCs/>
        </w:rPr>
        <w:t>and</w:t>
      </w:r>
      <w:r w:rsidRPr="00C2530A">
        <w:rPr>
          <w:rStyle w:val="normaltextrun"/>
          <w:rFonts w:ascii="Century Schoolbook" w:hAnsi="Century Schoolbook" w:cs="Calibri"/>
        </w:rPr>
        <w:t xml:space="preserve"> </w:t>
      </w:r>
      <w:r w:rsidRPr="00C2530A">
        <w:rPr>
          <w:rStyle w:val="normaltextrun"/>
          <w:rFonts w:ascii="Century Schoolbook" w:hAnsi="Century Schoolbook" w:cs="Calibri"/>
          <w:i/>
          <w:iCs/>
        </w:rPr>
        <w:t xml:space="preserve">in the course of </w:t>
      </w:r>
      <w:r w:rsidRPr="00C2530A">
        <w:rPr>
          <w:rStyle w:val="normaltextrun"/>
          <w:rFonts w:ascii="Century Schoolbook" w:hAnsi="Century Schoolbook" w:cs="Calibri"/>
        </w:rPr>
        <w:t>employment. These are two distinct prongs that must be satisfied individually.</w:t>
      </w:r>
      <w:r w:rsidR="007D6D45">
        <w:rPr>
          <w:rStyle w:val="FootnoteReference"/>
          <w:rFonts w:ascii="Century Schoolbook" w:hAnsi="Century Schoolbook" w:cs="Calibri"/>
        </w:rPr>
        <w:footnoteReference w:id="4"/>
      </w:r>
      <w:r w:rsidRPr="00C2530A">
        <w:rPr>
          <w:rStyle w:val="normaltextrun"/>
          <w:rFonts w:ascii="Century Schoolbook" w:hAnsi="Century Schoolbook" w:cs="Calibri"/>
        </w:rPr>
        <w:t xml:space="preserve"> T</w:t>
      </w:r>
      <w:r w:rsidRPr="00C2530A">
        <w:rPr>
          <w:rStyle w:val="eop"/>
          <w:rFonts w:ascii="Century Schoolbook" w:hAnsi="Century Schoolbook" w:cs="Calibri"/>
        </w:rPr>
        <w:t xml:space="preserve">he </w:t>
      </w:r>
      <w:r w:rsidRPr="00C2530A">
        <w:rPr>
          <w:rStyle w:val="eop"/>
          <w:rFonts w:ascii="Century Schoolbook" w:hAnsi="Century Schoolbook" w:cs="Calibri"/>
          <w:i/>
          <w:iCs/>
        </w:rPr>
        <w:t>in the course of</w:t>
      </w:r>
      <w:r w:rsidRPr="00C2530A">
        <w:rPr>
          <w:rStyle w:val="eop"/>
          <w:rFonts w:ascii="Century Schoolbook" w:hAnsi="Century Schoolbook" w:cs="Calibri"/>
        </w:rPr>
        <w:t xml:space="preserve"> prong relates to the </w:t>
      </w:r>
      <w:r w:rsidRPr="00C2530A">
        <w:rPr>
          <w:rStyle w:val="eop"/>
          <w:rFonts w:ascii="Century Schoolbook" w:hAnsi="Century Schoolbook" w:cs="Calibri"/>
          <w:i/>
          <w:iCs/>
        </w:rPr>
        <w:t xml:space="preserve">time, place and circumstances </w:t>
      </w:r>
      <w:r w:rsidRPr="00C2530A">
        <w:rPr>
          <w:rStyle w:val="eop"/>
          <w:rFonts w:ascii="Century Schoolbook" w:hAnsi="Century Schoolbook" w:cs="Calibri"/>
        </w:rPr>
        <w:t xml:space="preserve">under which the injury takes place. The </w:t>
      </w:r>
      <w:r w:rsidRPr="00C2530A">
        <w:rPr>
          <w:rStyle w:val="eop"/>
          <w:rFonts w:ascii="Century Schoolbook" w:hAnsi="Century Schoolbook" w:cs="Calibri"/>
          <w:i/>
          <w:iCs/>
        </w:rPr>
        <w:t>arising out of</w:t>
      </w:r>
      <w:r w:rsidRPr="00C2530A">
        <w:rPr>
          <w:rStyle w:val="eop"/>
          <w:rFonts w:ascii="Century Schoolbook" w:hAnsi="Century Schoolbook" w:cs="Calibri"/>
        </w:rPr>
        <w:t xml:space="preserve"> prong deals with causation —whether there is a 'causal connection' between the </w:t>
      </w:r>
      <w:r w:rsidRPr="00C2530A">
        <w:rPr>
          <w:rStyle w:val="eop"/>
          <w:rFonts w:ascii="Century Schoolbook" w:hAnsi="Century Schoolbook" w:cs="Calibri"/>
        </w:rPr>
        <w:lastRenderedPageBreak/>
        <w:t>employment and the injury.</w:t>
      </w:r>
      <w:r w:rsidR="008778E9">
        <w:rPr>
          <w:rStyle w:val="FootnoteReference"/>
          <w:rFonts w:ascii="Century Schoolbook" w:hAnsi="Century Schoolbook" w:cs="Calibri"/>
        </w:rPr>
        <w:footnoteReference w:id="5"/>
      </w:r>
      <w:r w:rsidRPr="00C2530A">
        <w:rPr>
          <w:rStyle w:val="eop"/>
          <w:rFonts w:ascii="Century Schoolbook" w:hAnsi="Century Schoolbook" w:cs="Calibri"/>
        </w:rPr>
        <w:t xml:space="preserve"> </w:t>
      </w:r>
      <w:r w:rsidR="004E699E">
        <w:rPr>
          <w:rStyle w:val="eop"/>
          <w:rFonts w:ascii="Century Schoolbook" w:hAnsi="Century Schoolbook" w:cs="Calibri"/>
        </w:rPr>
        <w:t xml:space="preserve">One could say that </w:t>
      </w:r>
      <w:r w:rsidRPr="00542B2D">
        <w:rPr>
          <w:rStyle w:val="eop"/>
          <w:rFonts w:ascii="Century Schoolbook" w:hAnsi="Century Schoolbook" w:cs="Calibri"/>
        </w:rPr>
        <w:t xml:space="preserve">“arising out of” simply means that there is a causal </w:t>
      </w:r>
      <w:r w:rsidR="006A6A6B">
        <w:rPr>
          <w:rStyle w:val="eop"/>
          <w:rFonts w:ascii="Century Schoolbook" w:hAnsi="Century Schoolbook" w:cs="Calibri"/>
        </w:rPr>
        <w:t>“</w:t>
      </w:r>
      <w:r w:rsidRPr="00542B2D">
        <w:rPr>
          <w:rStyle w:val="eop"/>
          <w:rFonts w:ascii="Century Schoolbook" w:hAnsi="Century Schoolbook" w:cs="Calibri"/>
        </w:rPr>
        <w:t>nexus</w:t>
      </w:r>
      <w:r w:rsidR="006A6A6B">
        <w:rPr>
          <w:rStyle w:val="eop"/>
          <w:rFonts w:ascii="Century Schoolbook" w:hAnsi="Century Schoolbook" w:cs="Calibri"/>
        </w:rPr>
        <w:t>”</w:t>
      </w:r>
      <w:r w:rsidRPr="00542B2D">
        <w:rPr>
          <w:rStyle w:val="eop"/>
          <w:rFonts w:ascii="Century Schoolbook" w:hAnsi="Century Schoolbook" w:cs="Calibri"/>
        </w:rPr>
        <w:t xml:space="preserve"> between the injury and the circumstances of the employee’s work.</w:t>
      </w:r>
      <w:r w:rsidR="0046635E">
        <w:rPr>
          <w:rStyle w:val="FootnoteReference"/>
          <w:rFonts w:ascii="Century Schoolbook" w:hAnsi="Century Schoolbook" w:cs="Calibri"/>
        </w:rPr>
        <w:footnoteReference w:id="6"/>
      </w:r>
    </w:p>
    <w:p w14:paraId="66B8132A" w14:textId="0A6C9091" w:rsidR="00CF1E89" w:rsidRDefault="00603C62" w:rsidP="008C751E">
      <w:pPr>
        <w:pStyle w:val="paragraph"/>
        <w:spacing w:after="0" w:line="480" w:lineRule="auto"/>
        <w:ind w:firstLine="720"/>
        <w:textAlignment w:val="baseline"/>
        <w:rPr>
          <w:rStyle w:val="eop"/>
          <w:rFonts w:ascii="Century Schoolbook" w:hAnsi="Century Schoolbook" w:cs="Calibri"/>
        </w:rPr>
      </w:pPr>
      <w:r w:rsidRPr="00542B2D">
        <w:rPr>
          <w:rStyle w:val="eop"/>
          <w:rFonts w:ascii="Century Schoolbook" w:hAnsi="Century Schoolbook" w:cs="Calibri"/>
        </w:rPr>
        <w:t xml:space="preserve">In 1935, the </w:t>
      </w:r>
      <w:r w:rsidRPr="00542B2D">
        <w:rPr>
          <w:rFonts w:ascii="Century Schoolbook" w:hAnsi="Century Schoolbook"/>
          <w:i/>
          <w:iCs/>
        </w:rPr>
        <w:t>Ocean Acct. &amp; Ga</w:t>
      </w:r>
      <w:r w:rsidR="006E5FE7">
        <w:rPr>
          <w:rFonts w:ascii="Century Schoolbook" w:hAnsi="Century Schoolbook"/>
          <w:i/>
          <w:iCs/>
        </w:rPr>
        <w:t>u</w:t>
      </w:r>
      <w:r w:rsidRPr="00542B2D">
        <w:rPr>
          <w:rFonts w:ascii="Century Schoolbook" w:hAnsi="Century Schoolbook"/>
          <w:i/>
          <w:iCs/>
        </w:rPr>
        <w:t>r. Corp. v. Farr</w:t>
      </w:r>
      <w:r w:rsidRPr="00542B2D">
        <w:rPr>
          <w:rFonts w:ascii="Century Schoolbook" w:hAnsi="Century Schoolbook"/>
        </w:rPr>
        <w:t xml:space="preserve"> </w:t>
      </w:r>
      <w:r w:rsidRPr="00542B2D">
        <w:rPr>
          <w:rStyle w:val="eop"/>
          <w:rFonts w:ascii="Century Schoolbook" w:hAnsi="Century Schoolbook" w:cs="Calibri"/>
        </w:rPr>
        <w:t>case established what would come to be known as the “scheduled break” defense.  In these cases, the “arising out of” prong focused solely on the question of whether the employee had “freedom of action” or remained under the employer’s “control”.</w:t>
      </w:r>
      <w:r w:rsidR="00134F00">
        <w:rPr>
          <w:rStyle w:val="FootnoteReference"/>
          <w:rFonts w:ascii="Century Schoolbook" w:hAnsi="Century Schoolbook" w:cs="Calibri"/>
        </w:rPr>
        <w:footnoteReference w:id="7"/>
      </w:r>
      <w:r w:rsidRPr="00542B2D">
        <w:rPr>
          <w:rFonts w:ascii="Century Schoolbook" w:hAnsi="Century Schoolbook"/>
        </w:rPr>
        <w:t xml:space="preserve"> </w:t>
      </w:r>
      <w:r w:rsidR="008C751E" w:rsidRPr="00542B2D">
        <w:rPr>
          <w:rStyle w:val="eop"/>
          <w:rFonts w:ascii="Century Schoolbook" w:hAnsi="Century Schoolbook" w:cs="Calibri"/>
        </w:rPr>
        <w:t xml:space="preserve">Pursuant to </w:t>
      </w:r>
      <w:r w:rsidR="008C751E" w:rsidRPr="00542B2D">
        <w:rPr>
          <w:rStyle w:val="eop"/>
          <w:rFonts w:ascii="Century Schoolbook" w:hAnsi="Century Schoolbook" w:cs="Calibri"/>
          <w:i/>
          <w:iCs/>
        </w:rPr>
        <w:t>Farr</w:t>
      </w:r>
      <w:r w:rsidR="008C751E" w:rsidRPr="00542B2D">
        <w:rPr>
          <w:rStyle w:val="eop"/>
          <w:rFonts w:ascii="Century Schoolbook" w:hAnsi="Century Schoolbook" w:cs="Calibri"/>
        </w:rPr>
        <w:t xml:space="preserve"> (1935), </w:t>
      </w:r>
      <w:r w:rsidR="00B62C3A">
        <w:rPr>
          <w:rFonts w:ascii="Century Schoolbook" w:hAnsi="Century Schoolbook"/>
        </w:rPr>
        <w:t>i</w:t>
      </w:r>
      <w:r w:rsidR="00995C2D">
        <w:rPr>
          <w:rFonts w:ascii="Century Schoolbook" w:hAnsi="Century Schoolbook"/>
        </w:rPr>
        <w:t>f the Employer</w:t>
      </w:r>
      <w:r w:rsidRPr="00542B2D">
        <w:rPr>
          <w:rFonts w:ascii="Century Schoolbook" w:hAnsi="Century Schoolbook"/>
        </w:rPr>
        <w:t xml:space="preserve"> ha</w:t>
      </w:r>
      <w:r w:rsidR="00995C2D">
        <w:rPr>
          <w:rFonts w:ascii="Century Schoolbook" w:hAnsi="Century Schoolbook"/>
        </w:rPr>
        <w:t>d</w:t>
      </w:r>
      <w:r w:rsidRPr="00542B2D">
        <w:rPr>
          <w:rFonts w:ascii="Century Schoolbook" w:hAnsi="Century Schoolbook"/>
        </w:rPr>
        <w:t xml:space="preserve"> released time to the employee to follow his individual pursuits</w:t>
      </w:r>
      <w:r w:rsidR="008C751E">
        <w:rPr>
          <w:rFonts w:ascii="Century Schoolbook" w:hAnsi="Century Schoolbook"/>
        </w:rPr>
        <w:t xml:space="preserve">, then it was reasoned that there was no accident </w:t>
      </w:r>
      <w:r w:rsidR="008C751E" w:rsidRPr="00204298">
        <w:rPr>
          <w:rFonts w:ascii="Century Schoolbook" w:hAnsi="Century Schoolbook"/>
          <w:i/>
          <w:iCs/>
        </w:rPr>
        <w:t>arising out of</w:t>
      </w:r>
      <w:r w:rsidR="008C751E">
        <w:rPr>
          <w:rFonts w:ascii="Century Schoolbook" w:hAnsi="Century Schoolbook"/>
        </w:rPr>
        <w:t xml:space="preserve"> employment</w:t>
      </w:r>
      <w:r w:rsidRPr="00542B2D">
        <w:rPr>
          <w:rFonts w:ascii="Century Schoolbook" w:hAnsi="Century Schoolbook"/>
        </w:rPr>
        <w:t>.</w:t>
      </w:r>
      <w:r w:rsidRPr="00542B2D">
        <w:rPr>
          <w:rStyle w:val="eop"/>
          <w:rFonts w:ascii="Century Schoolbook" w:hAnsi="Century Schoolbook" w:cs="Calibri"/>
        </w:rPr>
        <w:t xml:space="preserve"> The contours of the “scheduled break” defense were almost entirely developed by the Court of Appeals. </w:t>
      </w:r>
      <w:r w:rsidR="00133C78">
        <w:rPr>
          <w:rStyle w:val="eop"/>
          <w:rFonts w:ascii="Century Schoolbook" w:hAnsi="Century Schoolbook" w:cs="Calibri"/>
        </w:rPr>
        <w:t>The</w:t>
      </w:r>
      <w:r w:rsidR="002E6ACB">
        <w:rPr>
          <w:rStyle w:val="eop"/>
          <w:rFonts w:ascii="Century Schoolbook" w:hAnsi="Century Schoolbook" w:cs="Calibri"/>
        </w:rPr>
        <w:t xml:space="preserve">se cases often be distinguished based on </w:t>
      </w:r>
      <w:r w:rsidR="00055E5D">
        <w:rPr>
          <w:rStyle w:val="eop"/>
          <w:rFonts w:ascii="Century Schoolbook" w:hAnsi="Century Schoolbook" w:cs="Calibri"/>
        </w:rPr>
        <w:t xml:space="preserve">seemingly arbitrary factual distinctions. </w:t>
      </w:r>
      <w:r w:rsidR="00C67AD3">
        <w:rPr>
          <w:rStyle w:val="eop"/>
          <w:rFonts w:ascii="Century Schoolbook" w:hAnsi="Century Schoolbook" w:cs="Calibri"/>
        </w:rPr>
        <w:t>For example, a</w:t>
      </w:r>
      <w:r w:rsidR="00CF1E89" w:rsidRPr="00B1202E">
        <w:rPr>
          <w:rStyle w:val="eop"/>
          <w:rFonts w:ascii="Century Schoolbook" w:hAnsi="Century Schoolbook" w:cs="Calibri"/>
        </w:rPr>
        <w:t xml:space="preserve">n employee </w:t>
      </w:r>
      <w:r w:rsidR="00DB787B">
        <w:rPr>
          <w:rStyle w:val="eop"/>
          <w:rFonts w:ascii="Century Schoolbook" w:hAnsi="Century Schoolbook" w:cs="Calibri"/>
        </w:rPr>
        <w:t>returning to</w:t>
      </w:r>
      <w:r w:rsidR="00877917">
        <w:rPr>
          <w:rStyle w:val="eop"/>
          <w:rFonts w:ascii="Century Schoolbook" w:hAnsi="Century Schoolbook" w:cs="Calibri"/>
        </w:rPr>
        <w:t xml:space="preserve"> the</w:t>
      </w:r>
      <w:r w:rsidR="00CF1E89" w:rsidRPr="00B1202E">
        <w:rPr>
          <w:rStyle w:val="eop"/>
          <w:rFonts w:ascii="Century Schoolbook" w:hAnsi="Century Schoolbook" w:cs="Calibri"/>
        </w:rPr>
        <w:t xml:space="preserve"> employer’s premises during a scheduled lunch break </w:t>
      </w:r>
      <w:r w:rsidR="00877917">
        <w:rPr>
          <w:rStyle w:val="eop"/>
          <w:rFonts w:ascii="Century Schoolbook" w:hAnsi="Century Schoolbook" w:cs="Calibri"/>
        </w:rPr>
        <w:t xml:space="preserve">would </w:t>
      </w:r>
      <w:r w:rsidR="00DB787B">
        <w:rPr>
          <w:rStyle w:val="eop"/>
          <w:rFonts w:ascii="Century Schoolbook" w:hAnsi="Century Schoolbook" w:cs="Calibri"/>
        </w:rPr>
        <w:t>be covered under the</w:t>
      </w:r>
      <w:r w:rsidR="00CF1E89" w:rsidRPr="00B1202E">
        <w:rPr>
          <w:rStyle w:val="eop"/>
          <w:rFonts w:ascii="Century Schoolbook" w:hAnsi="Century Schoolbook" w:cs="Calibri"/>
        </w:rPr>
        <w:t xml:space="preserve"> Act, but an employee who chooses to remain on </w:t>
      </w:r>
      <w:r w:rsidR="003E07CF">
        <w:rPr>
          <w:rStyle w:val="eop"/>
          <w:rFonts w:ascii="Century Schoolbook" w:hAnsi="Century Schoolbook" w:cs="Calibri"/>
        </w:rPr>
        <w:t>the premises</w:t>
      </w:r>
      <w:r w:rsidR="00CF1E89" w:rsidRPr="00B1202E">
        <w:rPr>
          <w:rStyle w:val="eop"/>
          <w:rFonts w:ascii="Century Schoolbook" w:hAnsi="Century Schoolbook" w:cs="Calibri"/>
        </w:rPr>
        <w:t xml:space="preserve"> would have no such coverage.</w:t>
      </w:r>
      <w:r w:rsidR="00055E5D">
        <w:rPr>
          <w:rStyle w:val="FootnoteReference"/>
          <w:rFonts w:ascii="Century Schoolbook" w:hAnsi="Century Schoolbook" w:cs="Calibri"/>
        </w:rPr>
        <w:footnoteReference w:id="8"/>
      </w:r>
      <w:r w:rsidR="00CF1E89" w:rsidRPr="00B1202E">
        <w:rPr>
          <w:rStyle w:val="eop"/>
          <w:rFonts w:ascii="Century Schoolbook" w:hAnsi="Century Schoolbook" w:cs="Calibri"/>
        </w:rPr>
        <w:t xml:space="preserve"> Additionally, </w:t>
      </w:r>
      <w:r w:rsidR="00CF1E89" w:rsidRPr="00B1202E">
        <w:rPr>
          <w:rStyle w:val="eop"/>
          <w:rFonts w:ascii="Century Schoolbook" w:hAnsi="Century Schoolbook" w:cs="Calibri"/>
        </w:rPr>
        <w:lastRenderedPageBreak/>
        <w:t xml:space="preserve">whether an employee had the subjective intent to depart the premises </w:t>
      </w:r>
      <w:r w:rsidR="001A0580">
        <w:rPr>
          <w:rStyle w:val="eop"/>
          <w:rFonts w:ascii="Century Schoolbook" w:hAnsi="Century Schoolbook" w:cs="Calibri"/>
        </w:rPr>
        <w:t>would arguably determine</w:t>
      </w:r>
      <w:r w:rsidR="00CF1E89" w:rsidRPr="00B1202E">
        <w:rPr>
          <w:rStyle w:val="eop"/>
          <w:rFonts w:ascii="Century Schoolbook" w:hAnsi="Century Schoolbook" w:cs="Calibri"/>
        </w:rPr>
        <w:t xml:space="preserve"> </w:t>
      </w:r>
      <w:r w:rsidR="001A0580">
        <w:rPr>
          <w:rStyle w:val="eop"/>
          <w:rFonts w:ascii="Century Schoolbook" w:hAnsi="Century Schoolbook" w:cs="Calibri"/>
        </w:rPr>
        <w:t>the coverage question</w:t>
      </w:r>
      <w:r w:rsidR="009A3DDB">
        <w:rPr>
          <w:rStyle w:val="eop"/>
          <w:rFonts w:ascii="Century Schoolbook" w:hAnsi="Century Schoolbook" w:cs="Calibri"/>
        </w:rPr>
        <w:t xml:space="preserve"> (</w:t>
      </w:r>
      <w:r w:rsidR="005B32AC">
        <w:rPr>
          <w:rStyle w:val="eop"/>
          <w:rFonts w:ascii="Century Schoolbook" w:hAnsi="Century Schoolbook" w:cs="Calibri"/>
        </w:rPr>
        <w:t>because of the ingress and egress rule)</w:t>
      </w:r>
      <w:r w:rsidR="001A0580">
        <w:rPr>
          <w:rStyle w:val="eop"/>
          <w:rFonts w:ascii="Century Schoolbook" w:hAnsi="Century Schoolbook" w:cs="Calibri"/>
        </w:rPr>
        <w:t>.</w:t>
      </w:r>
    </w:p>
    <w:p w14:paraId="52D326F7" w14:textId="24EB8B8F" w:rsidR="008974D6" w:rsidRDefault="00685EDB" w:rsidP="00FC6639">
      <w:pPr>
        <w:pStyle w:val="paragraph"/>
        <w:spacing w:before="0" w:beforeAutospacing="0" w:after="0" w:afterAutospacing="0" w:line="480" w:lineRule="auto"/>
        <w:ind w:firstLine="720"/>
        <w:textAlignment w:val="baseline"/>
        <w:rPr>
          <w:rStyle w:val="eop"/>
          <w:rFonts w:ascii="Century Schoolbook" w:hAnsi="Century Schoolbook" w:cs="Calibri"/>
        </w:rPr>
      </w:pPr>
      <w:r w:rsidRPr="00542B2D">
        <w:rPr>
          <w:rStyle w:val="eop"/>
          <w:rFonts w:ascii="Century Schoolbook" w:hAnsi="Century Schoolbook" w:cs="Calibri"/>
        </w:rPr>
        <w:t xml:space="preserve">The appellate courts struggled </w:t>
      </w:r>
      <w:r>
        <w:rPr>
          <w:rStyle w:val="eop"/>
          <w:rFonts w:ascii="Century Schoolbook" w:hAnsi="Century Schoolbook" w:cs="Calibri"/>
        </w:rPr>
        <w:t xml:space="preserve">to </w:t>
      </w:r>
      <w:r w:rsidRPr="00542B2D">
        <w:rPr>
          <w:rStyle w:val="eop"/>
          <w:rFonts w:ascii="Century Schoolbook" w:hAnsi="Century Schoolbook" w:cs="Calibri"/>
        </w:rPr>
        <w:t>apply the rule consistently.</w:t>
      </w:r>
      <w:r w:rsidRPr="00542B2D">
        <w:rPr>
          <w:rStyle w:val="FootnoteReference"/>
          <w:rFonts w:ascii="Century Schoolbook" w:hAnsi="Century Schoolbook" w:cs="Calibri"/>
        </w:rPr>
        <w:footnoteReference w:id="9"/>
      </w:r>
      <w:r w:rsidRPr="00542B2D">
        <w:rPr>
          <w:rStyle w:val="eop"/>
          <w:rFonts w:ascii="Century Schoolbook" w:hAnsi="Century Schoolbook" w:cs="Calibri"/>
        </w:rPr>
        <w:t xml:space="preserve"> </w:t>
      </w:r>
      <w:r w:rsidR="00B20ECC">
        <w:rPr>
          <w:rStyle w:val="eop"/>
          <w:rFonts w:ascii="Century Schoolbook" w:hAnsi="Century Schoolbook" w:cs="Calibri"/>
        </w:rPr>
        <w:t xml:space="preserve">Arguably, </w:t>
      </w:r>
      <w:r w:rsidR="00313574">
        <w:rPr>
          <w:rStyle w:val="eop"/>
          <w:rFonts w:ascii="Century Schoolbook" w:hAnsi="Century Schoolbook" w:cs="Calibri"/>
        </w:rPr>
        <w:t xml:space="preserve">under </w:t>
      </w:r>
      <w:r w:rsidR="005B32AC">
        <w:rPr>
          <w:rStyle w:val="eop"/>
          <w:rFonts w:ascii="Century Schoolbook" w:hAnsi="Century Schoolbook" w:cs="Calibri"/>
        </w:rPr>
        <w:t xml:space="preserve">prior caselaw, </w:t>
      </w:r>
      <w:r w:rsidR="00B20ECC">
        <w:rPr>
          <w:rStyle w:val="eop"/>
          <w:rFonts w:ascii="Century Schoolbook" w:hAnsi="Century Schoolbook" w:cs="Calibri"/>
        </w:rPr>
        <w:t>a</w:t>
      </w:r>
      <w:r w:rsidR="00603C62" w:rsidRPr="00542B2D">
        <w:rPr>
          <w:rStyle w:val="eop"/>
          <w:rFonts w:ascii="Century Schoolbook" w:hAnsi="Century Schoolbook" w:cs="Calibri"/>
        </w:rPr>
        <w:t>n employee was held to have an accident “arising out of” employment while returning from a lunch break, but not while leaving to a lunch break</w:t>
      </w:r>
      <w:r w:rsidR="00811191">
        <w:rPr>
          <w:rStyle w:val="eop"/>
          <w:rFonts w:ascii="Century Schoolbook" w:hAnsi="Century Schoolbook" w:cs="Calibri"/>
        </w:rPr>
        <w:t xml:space="preserve"> (there</w:t>
      </w:r>
      <w:r w:rsidR="00AE7110">
        <w:rPr>
          <w:rStyle w:val="eop"/>
          <w:rFonts w:ascii="Century Schoolbook" w:hAnsi="Century Schoolbook" w:cs="Calibri"/>
        </w:rPr>
        <w:t xml:space="preserve"> was conflicting case law on this point)</w:t>
      </w:r>
      <w:r w:rsidR="00603C62" w:rsidRPr="00542B2D">
        <w:rPr>
          <w:rStyle w:val="eop"/>
          <w:rFonts w:ascii="Century Schoolbook" w:hAnsi="Century Schoolbook" w:cs="Calibri"/>
        </w:rPr>
        <w:t>.</w:t>
      </w:r>
      <w:r w:rsidR="00A916B1">
        <w:rPr>
          <w:rStyle w:val="FootnoteReference"/>
          <w:rFonts w:ascii="Century Schoolbook" w:hAnsi="Century Schoolbook" w:cs="Calibri"/>
        </w:rPr>
        <w:footnoteReference w:id="10"/>
      </w:r>
      <w:r w:rsidR="00603C62" w:rsidRPr="00542B2D">
        <w:rPr>
          <w:rStyle w:val="eop"/>
          <w:rFonts w:ascii="Century Schoolbook" w:hAnsi="Century Schoolbook" w:cs="Calibri"/>
        </w:rPr>
        <w:t xml:space="preserve"> </w:t>
      </w:r>
      <w:r w:rsidR="00AE7110">
        <w:rPr>
          <w:rStyle w:val="eop"/>
          <w:rFonts w:ascii="Century Schoolbook" w:hAnsi="Century Schoolbook" w:cs="Calibri"/>
        </w:rPr>
        <w:t>U</w:t>
      </w:r>
      <w:r w:rsidR="00381168">
        <w:rPr>
          <w:rStyle w:val="eop"/>
          <w:rFonts w:ascii="Century Schoolbook" w:hAnsi="Century Schoolbook" w:cs="Calibri"/>
        </w:rPr>
        <w:t>nder</w:t>
      </w:r>
      <w:r w:rsidR="00D14FE1" w:rsidRPr="00555689">
        <w:rPr>
          <w:rStyle w:val="normaltextrun"/>
          <w:rFonts w:ascii="Century Schoolbook" w:hAnsi="Century Schoolbook" w:cs="Calibri"/>
        </w:rPr>
        <w:t xml:space="preserve"> </w:t>
      </w:r>
      <w:r w:rsidR="00D14FE1" w:rsidRPr="00555689">
        <w:rPr>
          <w:rFonts w:ascii="Century Schoolbook" w:hAnsi="Century Schoolbook"/>
          <w:i/>
          <w:iCs/>
          <w:sz w:val="23"/>
          <w:szCs w:val="23"/>
        </w:rPr>
        <w:t>Rockwell v. Lockheed Martin Corp.</w:t>
      </w:r>
      <w:r w:rsidR="00D14FE1" w:rsidRPr="00555689">
        <w:rPr>
          <w:rFonts w:ascii="Century Schoolbook" w:hAnsi="Century Schoolbook"/>
          <w:sz w:val="23"/>
          <w:szCs w:val="23"/>
        </w:rPr>
        <w:t>, 248 Ga. App. 73</w:t>
      </w:r>
      <w:r w:rsidR="00CA5227">
        <w:rPr>
          <w:rFonts w:ascii="Century Schoolbook" w:hAnsi="Century Schoolbook"/>
          <w:sz w:val="23"/>
          <w:szCs w:val="23"/>
        </w:rPr>
        <w:t>,</w:t>
      </w:r>
      <w:r w:rsidR="00603C62" w:rsidRPr="00542B2D">
        <w:rPr>
          <w:rStyle w:val="eop"/>
          <w:rFonts w:ascii="Century Schoolbook" w:hAnsi="Century Schoolbook" w:cs="Calibri"/>
        </w:rPr>
        <w:t xml:space="preserve"> an employee leaving to lunch was considered to have an accident </w:t>
      </w:r>
      <w:r w:rsidR="00D50E9B">
        <w:rPr>
          <w:rStyle w:val="eop"/>
          <w:rFonts w:ascii="Century Schoolbook" w:hAnsi="Century Schoolbook" w:cs="Calibri"/>
        </w:rPr>
        <w:t>“</w:t>
      </w:r>
      <w:r w:rsidR="00603C62" w:rsidRPr="00542B2D">
        <w:rPr>
          <w:rStyle w:val="eop"/>
          <w:rFonts w:ascii="Century Schoolbook" w:hAnsi="Century Schoolbook" w:cs="Calibri"/>
        </w:rPr>
        <w:t xml:space="preserve">arising out </w:t>
      </w:r>
      <w:r w:rsidR="00D50E9B">
        <w:rPr>
          <w:rStyle w:val="eop"/>
          <w:rFonts w:ascii="Century Schoolbook" w:hAnsi="Century Schoolbook" w:cs="Calibri"/>
        </w:rPr>
        <w:t xml:space="preserve">of </w:t>
      </w:r>
      <w:r w:rsidR="00603C62" w:rsidRPr="00542B2D">
        <w:rPr>
          <w:rStyle w:val="eop"/>
          <w:rFonts w:ascii="Century Schoolbook" w:hAnsi="Century Schoolbook" w:cs="Calibri"/>
        </w:rPr>
        <w:t>employment</w:t>
      </w:r>
      <w:r w:rsidR="00D50E9B">
        <w:rPr>
          <w:rStyle w:val="eop"/>
          <w:rFonts w:ascii="Century Schoolbook" w:hAnsi="Century Schoolbook" w:cs="Calibri"/>
        </w:rPr>
        <w:t>”</w:t>
      </w:r>
      <w:r w:rsidR="00603C62" w:rsidRPr="00542B2D">
        <w:rPr>
          <w:rStyle w:val="eop"/>
          <w:rFonts w:ascii="Century Schoolbook" w:hAnsi="Century Schoolbook" w:cs="Calibri"/>
        </w:rPr>
        <w:t xml:space="preserve"> for the purpose of the exclusive remedy</w:t>
      </w:r>
      <w:r w:rsidR="00CF70E8">
        <w:rPr>
          <w:rStyle w:val="eop"/>
          <w:rFonts w:ascii="Century Schoolbook" w:hAnsi="Century Schoolbook" w:cs="Calibri"/>
        </w:rPr>
        <w:t>.</w:t>
      </w:r>
      <w:r w:rsidR="0081402B">
        <w:rPr>
          <w:rStyle w:val="eop"/>
          <w:rFonts w:ascii="Century Schoolbook" w:hAnsi="Century Schoolbook" w:cs="Calibri"/>
        </w:rPr>
        <w:t xml:space="preserve"> </w:t>
      </w:r>
      <w:r w:rsidR="000656C9">
        <w:rPr>
          <w:rStyle w:val="eop"/>
          <w:rFonts w:ascii="Century Schoolbook" w:hAnsi="Century Schoolbook" w:cs="Calibri"/>
        </w:rPr>
        <w:t>In</w:t>
      </w:r>
      <w:r w:rsidR="0081402B">
        <w:rPr>
          <w:rStyle w:val="eop"/>
          <w:rFonts w:ascii="Century Schoolbook" w:hAnsi="Century Schoolbook" w:cs="Calibri"/>
        </w:rPr>
        <w:t xml:space="preserve"> </w:t>
      </w:r>
      <w:r w:rsidR="00E3697B" w:rsidRPr="00DA45BD">
        <w:rPr>
          <w:rStyle w:val="eop"/>
          <w:rFonts w:ascii="Century Schoolbook" w:hAnsi="Century Schoolbook" w:cs="Calibri"/>
          <w:i/>
          <w:iCs/>
        </w:rPr>
        <w:t>Aetna Cas. &amp; Sur Co. v. Honea</w:t>
      </w:r>
      <w:r w:rsidR="00E3697B" w:rsidRPr="00E3697B">
        <w:rPr>
          <w:rStyle w:val="eop"/>
          <w:rFonts w:ascii="Century Schoolbook" w:hAnsi="Century Schoolbook" w:cs="Calibri"/>
        </w:rPr>
        <w:t>, 71 Ga. App. 569</w:t>
      </w:r>
      <w:r w:rsidR="000F76CB">
        <w:rPr>
          <w:rStyle w:val="eop"/>
          <w:rFonts w:ascii="Century Schoolbook" w:hAnsi="Century Schoolbook" w:cs="Calibri"/>
        </w:rPr>
        <w:t xml:space="preserve"> (1944)</w:t>
      </w:r>
      <w:r w:rsidR="00E3697B" w:rsidRPr="00E3697B">
        <w:rPr>
          <w:rStyle w:val="eop"/>
          <w:rFonts w:ascii="Century Schoolbook" w:hAnsi="Century Schoolbook" w:cs="Calibri"/>
        </w:rPr>
        <w:t>,</w:t>
      </w:r>
      <w:r w:rsidR="00E3697B">
        <w:rPr>
          <w:rStyle w:val="eop"/>
          <w:rFonts w:ascii="Century Schoolbook" w:hAnsi="Century Schoolbook" w:cs="Calibri"/>
        </w:rPr>
        <w:t xml:space="preserve"> </w:t>
      </w:r>
      <w:r w:rsidR="006430B2">
        <w:rPr>
          <w:rStyle w:val="eop"/>
          <w:rFonts w:ascii="Century Schoolbook" w:hAnsi="Century Schoolbook" w:cs="Calibri"/>
        </w:rPr>
        <w:t>a workers’ compensation case,</w:t>
      </w:r>
      <w:r w:rsidR="000656C9">
        <w:rPr>
          <w:rStyle w:val="eop"/>
          <w:rFonts w:ascii="Century Schoolbook" w:hAnsi="Century Schoolbook" w:cs="Calibri"/>
        </w:rPr>
        <w:t xml:space="preserve"> the Court of Appeals</w:t>
      </w:r>
      <w:r w:rsidR="006430B2">
        <w:rPr>
          <w:rStyle w:val="eop"/>
          <w:rFonts w:ascii="Century Schoolbook" w:hAnsi="Century Schoolbook" w:cs="Calibri"/>
        </w:rPr>
        <w:t xml:space="preserve"> </w:t>
      </w:r>
      <w:r w:rsidR="008F1643">
        <w:rPr>
          <w:rStyle w:val="eop"/>
          <w:rFonts w:ascii="Century Schoolbook" w:hAnsi="Century Schoolbook" w:cs="Calibri"/>
        </w:rPr>
        <w:t xml:space="preserve">also </w:t>
      </w:r>
      <w:r w:rsidR="008B5785">
        <w:rPr>
          <w:rStyle w:val="eop"/>
          <w:rFonts w:ascii="Century Schoolbook" w:hAnsi="Century Schoolbook" w:cs="Calibri"/>
        </w:rPr>
        <w:t>reached the opposite conclusion</w:t>
      </w:r>
      <w:r w:rsidR="000F76CB">
        <w:rPr>
          <w:rStyle w:val="eop"/>
          <w:rFonts w:ascii="Century Schoolbook" w:hAnsi="Century Schoolbook" w:cs="Calibri"/>
        </w:rPr>
        <w:t xml:space="preserve"> </w:t>
      </w:r>
      <w:r w:rsidR="006430B2">
        <w:rPr>
          <w:rStyle w:val="eop"/>
          <w:rFonts w:ascii="Century Schoolbook" w:hAnsi="Century Schoolbook" w:cs="Calibri"/>
        </w:rPr>
        <w:t xml:space="preserve">of </w:t>
      </w:r>
      <w:r w:rsidR="006430B2">
        <w:rPr>
          <w:rStyle w:val="eop"/>
          <w:rFonts w:ascii="Century Schoolbook" w:hAnsi="Century Schoolbook" w:cs="Calibri"/>
          <w:i/>
          <w:iCs/>
        </w:rPr>
        <w:t>R</w:t>
      </w:r>
      <w:r w:rsidR="006430B2" w:rsidRPr="006430B2">
        <w:rPr>
          <w:rStyle w:val="eop"/>
          <w:rFonts w:ascii="Century Schoolbook" w:hAnsi="Century Schoolbook" w:cs="Calibri"/>
          <w:i/>
          <w:iCs/>
        </w:rPr>
        <w:t>ockwell</w:t>
      </w:r>
      <w:r w:rsidR="006430B2">
        <w:rPr>
          <w:rStyle w:val="eop"/>
          <w:rFonts w:ascii="Century Schoolbook" w:hAnsi="Century Schoolbook" w:cs="Calibri"/>
        </w:rPr>
        <w:t xml:space="preserve"> under similar fact</w:t>
      </w:r>
      <w:r w:rsidR="00485C4F">
        <w:rPr>
          <w:rStyle w:val="eop"/>
          <w:rFonts w:ascii="Century Schoolbook" w:hAnsi="Century Schoolbook" w:cs="Calibri"/>
        </w:rPr>
        <w:t>s</w:t>
      </w:r>
      <w:r w:rsidR="006430B2">
        <w:rPr>
          <w:rStyle w:val="eop"/>
          <w:rFonts w:ascii="Century Schoolbook" w:hAnsi="Century Schoolbook" w:cs="Calibri"/>
        </w:rPr>
        <w:t>.</w:t>
      </w:r>
      <w:r w:rsidR="006430B2">
        <w:rPr>
          <w:rStyle w:val="FootnoteReference"/>
          <w:rFonts w:ascii="Century Schoolbook" w:hAnsi="Century Schoolbook" w:cs="Calibri"/>
        </w:rPr>
        <w:footnoteReference w:id="11"/>
      </w:r>
    </w:p>
    <w:p w14:paraId="01331685" w14:textId="77777777" w:rsidR="00101965" w:rsidRPr="00542B2D" w:rsidRDefault="00101965" w:rsidP="00350E64">
      <w:pPr>
        <w:pStyle w:val="paragraph"/>
        <w:spacing w:before="0" w:beforeAutospacing="0" w:after="0" w:afterAutospacing="0" w:line="480" w:lineRule="auto"/>
        <w:textAlignment w:val="baseline"/>
        <w:rPr>
          <w:rStyle w:val="eop"/>
          <w:rFonts w:ascii="Century Schoolbook" w:hAnsi="Century Schoolbook" w:cs="Calibri"/>
        </w:rPr>
      </w:pPr>
    </w:p>
    <w:p w14:paraId="70DB713C" w14:textId="121BFAC1" w:rsidR="001B7719" w:rsidRPr="00101965" w:rsidRDefault="00101965" w:rsidP="001B7719">
      <w:pPr>
        <w:pStyle w:val="paragraph"/>
        <w:spacing w:before="0" w:beforeAutospacing="0" w:after="0" w:afterAutospacing="0" w:line="480" w:lineRule="auto"/>
        <w:jc w:val="center"/>
        <w:textAlignment w:val="baseline"/>
        <w:rPr>
          <w:rFonts w:ascii="Century Schoolbook" w:hAnsi="Century Schoolbook" w:cs="Calibri"/>
          <w:spacing w:val="20"/>
        </w:rPr>
      </w:pPr>
      <w:r w:rsidRPr="00101965">
        <w:rPr>
          <w:rStyle w:val="eop"/>
          <w:rFonts w:ascii="Century Schoolbook" w:hAnsi="Century Schoolbook" w:cs="Calibri"/>
          <w:spacing w:val="20"/>
        </w:rPr>
        <w:lastRenderedPageBreak/>
        <w:t>WHAT WERE THE FACTS AND ISSUES IN THE FRETT V STATE FARM CASE?</w:t>
      </w:r>
    </w:p>
    <w:p w14:paraId="3B104768" w14:textId="00B32B4B" w:rsidR="001B7719" w:rsidRDefault="00FF5239" w:rsidP="001B7719">
      <w:pPr>
        <w:pStyle w:val="paragraph"/>
        <w:spacing w:before="0" w:beforeAutospacing="0" w:after="0" w:afterAutospacing="0" w:line="480" w:lineRule="auto"/>
        <w:ind w:firstLine="720"/>
        <w:textAlignment w:val="baseline"/>
        <w:rPr>
          <w:rStyle w:val="normaltextrun"/>
          <w:rFonts w:ascii="Century Schoolbook" w:hAnsi="Century Schoolbook" w:cs="Calibri"/>
        </w:rPr>
      </w:pPr>
      <w:r w:rsidRPr="00542B2D">
        <w:rPr>
          <w:rStyle w:val="normaltextrun"/>
          <w:rFonts w:ascii="Century Schoolbook" w:hAnsi="Century Schoolbook" w:cs="Calibri"/>
        </w:rPr>
        <w:t xml:space="preserve">On the day of her accident, </w:t>
      </w:r>
      <w:r w:rsidR="000065B6" w:rsidRPr="00542B2D">
        <w:rPr>
          <w:rStyle w:val="normaltextrun"/>
          <w:rFonts w:ascii="Century Schoolbook" w:hAnsi="Century Schoolbook" w:cs="Calibri"/>
        </w:rPr>
        <w:t>Frett</w:t>
      </w:r>
      <w:r w:rsidR="00441226" w:rsidRPr="00542B2D">
        <w:rPr>
          <w:rStyle w:val="normaltextrun"/>
          <w:rFonts w:ascii="Century Schoolbook" w:hAnsi="Century Schoolbook" w:cs="Calibri"/>
        </w:rPr>
        <w:t xml:space="preserve"> </w:t>
      </w:r>
      <w:r w:rsidR="00966C5F" w:rsidRPr="00542B2D">
        <w:rPr>
          <w:rStyle w:val="normaltextrun"/>
          <w:rFonts w:ascii="Century Schoolbook" w:hAnsi="Century Schoolbook" w:cs="Calibri"/>
        </w:rPr>
        <w:t>had begun her regularly sched</w:t>
      </w:r>
      <w:r w:rsidR="00966C5F" w:rsidRPr="00966C5F">
        <w:rPr>
          <w:rStyle w:val="normaltextrun"/>
          <w:rFonts w:ascii="Century Schoolbook" w:hAnsi="Century Schoolbook" w:cs="Calibri"/>
        </w:rPr>
        <w:t xml:space="preserve">uled </w:t>
      </w:r>
      <w:r w:rsidR="00F96B29" w:rsidRPr="00F96B29">
        <w:rPr>
          <w:rStyle w:val="normaltextrun"/>
          <w:rFonts w:ascii="Century Schoolbook" w:hAnsi="Century Schoolbook" w:cs="Calibri"/>
        </w:rPr>
        <w:t xml:space="preserve">lunch break. </w:t>
      </w:r>
      <w:r w:rsidR="000F0C52" w:rsidRPr="000F0C52">
        <w:rPr>
          <w:rStyle w:val="normaltextrun"/>
          <w:rFonts w:ascii="Century Schoolbook" w:hAnsi="Century Schoolbook" w:cs="Calibri"/>
        </w:rPr>
        <w:t>All</w:t>
      </w:r>
      <w:r w:rsidR="00F96B29" w:rsidRPr="00F96B29">
        <w:rPr>
          <w:rStyle w:val="normaltextrun"/>
          <w:rFonts w:ascii="Century Schoolbook" w:hAnsi="Century Schoolbook" w:cs="Calibri"/>
        </w:rPr>
        <w:t xml:space="preserve"> </w:t>
      </w:r>
      <w:r w:rsidR="005F112E" w:rsidRPr="005F112E">
        <w:rPr>
          <w:rStyle w:val="normaltextrun"/>
          <w:rFonts w:ascii="Century Schoolbook" w:hAnsi="Century Schoolbook" w:cs="Calibri"/>
        </w:rPr>
        <w:t xml:space="preserve">of the parties agreed that </w:t>
      </w:r>
      <w:r w:rsidR="000065B6">
        <w:rPr>
          <w:rStyle w:val="normaltextrun"/>
          <w:rFonts w:ascii="Century Schoolbook" w:hAnsi="Century Schoolbook" w:cs="Calibri"/>
        </w:rPr>
        <w:t>she</w:t>
      </w:r>
      <w:r w:rsidR="005F112E" w:rsidRPr="005F112E">
        <w:rPr>
          <w:rStyle w:val="normaltextrun"/>
          <w:rFonts w:ascii="Century Schoolbook" w:hAnsi="Century Schoolbook" w:cs="Calibri"/>
        </w:rPr>
        <w:t xml:space="preserve"> was free </w:t>
      </w:r>
      <w:r w:rsidR="00190861" w:rsidRPr="00190861">
        <w:rPr>
          <w:rStyle w:val="normaltextrun"/>
          <w:rFonts w:ascii="Century Schoolbook" w:hAnsi="Century Schoolbook" w:cs="Calibri"/>
        </w:rPr>
        <w:t xml:space="preserve">to do as she pleased on her break and </w:t>
      </w:r>
      <w:r w:rsidR="002E6A1C" w:rsidRPr="002E6A1C">
        <w:rPr>
          <w:rStyle w:val="normaltextrun"/>
          <w:rFonts w:ascii="Century Schoolbook" w:hAnsi="Century Schoolbook" w:cs="Calibri"/>
        </w:rPr>
        <w:t xml:space="preserve">could leave the office for lunch if </w:t>
      </w:r>
      <w:r w:rsidR="000F0C52" w:rsidRPr="000F0C52">
        <w:rPr>
          <w:rStyle w:val="normaltextrun"/>
          <w:rFonts w:ascii="Century Schoolbook" w:hAnsi="Century Schoolbook" w:cs="Calibri"/>
        </w:rPr>
        <w:t xml:space="preserve">she wished. </w:t>
      </w:r>
      <w:r w:rsidR="00DE56A4" w:rsidRPr="00DE56A4">
        <w:rPr>
          <w:rStyle w:val="normaltextrun"/>
          <w:rFonts w:ascii="Century Schoolbook" w:hAnsi="Century Schoolbook" w:cs="Calibri"/>
        </w:rPr>
        <w:t xml:space="preserve">Generally, </w:t>
      </w:r>
      <w:r w:rsidR="000065B6">
        <w:rPr>
          <w:rStyle w:val="normaltextrun"/>
          <w:rFonts w:ascii="Century Schoolbook" w:hAnsi="Century Schoolbook" w:cs="Calibri"/>
        </w:rPr>
        <w:t>Frett</w:t>
      </w:r>
      <w:r w:rsidR="003F0371" w:rsidRPr="003F0371">
        <w:rPr>
          <w:rStyle w:val="normaltextrun"/>
          <w:rFonts w:ascii="Century Schoolbook" w:hAnsi="Century Schoolbook" w:cs="Calibri"/>
        </w:rPr>
        <w:t xml:space="preserve"> </w:t>
      </w:r>
      <w:r w:rsidR="001E0AEB" w:rsidRPr="001E0AEB">
        <w:rPr>
          <w:rStyle w:val="normaltextrun"/>
          <w:rFonts w:ascii="Century Schoolbook" w:hAnsi="Century Schoolbook" w:cs="Calibri"/>
        </w:rPr>
        <w:t xml:space="preserve">brought her lunch and would walk to the </w:t>
      </w:r>
      <w:r w:rsidR="00DE56A4" w:rsidRPr="00DE56A4">
        <w:rPr>
          <w:rStyle w:val="normaltextrun"/>
          <w:rFonts w:ascii="Century Schoolbook" w:hAnsi="Century Schoolbook" w:cs="Calibri"/>
        </w:rPr>
        <w:t>State Farm</w:t>
      </w:r>
      <w:r w:rsidR="00705FCA" w:rsidRPr="00705FCA">
        <w:rPr>
          <w:rStyle w:val="normaltextrun"/>
          <w:rFonts w:ascii="Century Schoolbook" w:hAnsi="Century Schoolbook" w:cs="Calibri"/>
        </w:rPr>
        <w:t xml:space="preserve"> employee break room on her floor to prepare </w:t>
      </w:r>
      <w:r w:rsidR="00DE56A4" w:rsidRPr="00DE56A4">
        <w:rPr>
          <w:rStyle w:val="normaltextrun"/>
          <w:rFonts w:ascii="Century Schoolbook" w:hAnsi="Century Schoolbook" w:cs="Calibri"/>
        </w:rPr>
        <w:t>her food</w:t>
      </w:r>
      <w:r w:rsidR="005D1EF0" w:rsidRPr="005D1EF0">
        <w:rPr>
          <w:rStyle w:val="normaltextrun"/>
          <w:rFonts w:ascii="Century Schoolbook" w:hAnsi="Century Schoolbook" w:cs="Calibri"/>
        </w:rPr>
        <w:t xml:space="preserve">. </w:t>
      </w:r>
      <w:r w:rsidR="001D7E54" w:rsidRPr="001D7E54">
        <w:rPr>
          <w:rStyle w:val="normaltextrun"/>
          <w:rFonts w:ascii="Century Schoolbook" w:hAnsi="Century Schoolbook" w:cs="Calibri"/>
        </w:rPr>
        <w:t xml:space="preserve">On the day of the accident, </w:t>
      </w:r>
      <w:r w:rsidR="000065B6">
        <w:rPr>
          <w:rStyle w:val="normaltextrun"/>
          <w:rFonts w:ascii="Century Schoolbook" w:hAnsi="Century Schoolbook" w:cs="Calibri"/>
        </w:rPr>
        <w:t>Frett</w:t>
      </w:r>
      <w:r w:rsidR="00442189" w:rsidRPr="00442189">
        <w:rPr>
          <w:rStyle w:val="normaltextrun"/>
          <w:rFonts w:ascii="Century Schoolbook" w:hAnsi="Century Schoolbook" w:cs="Calibri"/>
        </w:rPr>
        <w:t xml:space="preserve"> </w:t>
      </w:r>
      <w:r w:rsidR="00BA4C27" w:rsidRPr="00BA4C27">
        <w:rPr>
          <w:rStyle w:val="normaltextrun"/>
          <w:rFonts w:ascii="Century Schoolbook" w:hAnsi="Century Schoolbook" w:cs="Calibri"/>
        </w:rPr>
        <w:t xml:space="preserve">went to the </w:t>
      </w:r>
      <w:r w:rsidR="00BD61CB" w:rsidRPr="00BD61CB">
        <w:rPr>
          <w:rStyle w:val="normaltextrun"/>
          <w:rFonts w:ascii="Century Schoolbook" w:hAnsi="Century Schoolbook" w:cs="Calibri"/>
        </w:rPr>
        <w:t xml:space="preserve">break room </w:t>
      </w:r>
      <w:r w:rsidR="00365978" w:rsidRPr="00365978">
        <w:rPr>
          <w:rStyle w:val="normaltextrun"/>
          <w:rFonts w:ascii="Century Schoolbook" w:hAnsi="Century Schoolbook" w:cs="Calibri"/>
        </w:rPr>
        <w:t xml:space="preserve">to microwave her lunch. </w:t>
      </w:r>
      <w:r w:rsidR="00CB6400" w:rsidRPr="00CB6400">
        <w:rPr>
          <w:rStyle w:val="normaltextrun"/>
          <w:rFonts w:ascii="Century Schoolbook" w:hAnsi="Century Schoolbook" w:cs="Calibri"/>
        </w:rPr>
        <w:t xml:space="preserve">She intended to eat her lunch outside </w:t>
      </w:r>
      <w:r w:rsidR="00C946BF" w:rsidRPr="00C946BF">
        <w:rPr>
          <w:rStyle w:val="normaltextrun"/>
          <w:rFonts w:ascii="Century Schoolbook" w:hAnsi="Century Schoolbook" w:cs="Calibri"/>
        </w:rPr>
        <w:t xml:space="preserve">on a </w:t>
      </w:r>
      <w:r w:rsidR="00C17599" w:rsidRPr="00C17599">
        <w:rPr>
          <w:rStyle w:val="normaltextrun"/>
          <w:rFonts w:ascii="Century Schoolbook" w:hAnsi="Century Schoolbook" w:cs="Calibri"/>
        </w:rPr>
        <w:t>bench</w:t>
      </w:r>
      <w:r w:rsidR="00EB2E14" w:rsidRPr="00EB2E14">
        <w:rPr>
          <w:rStyle w:val="normaltextrun"/>
          <w:rFonts w:ascii="Century Schoolbook" w:hAnsi="Century Schoolbook" w:cs="Calibri"/>
        </w:rPr>
        <w:t>.</w:t>
      </w:r>
      <w:r w:rsidR="00C17599" w:rsidRPr="00C17599">
        <w:rPr>
          <w:rStyle w:val="normaltextrun"/>
          <w:rFonts w:ascii="Century Schoolbook" w:hAnsi="Century Schoolbook" w:cs="Calibri"/>
        </w:rPr>
        <w:t xml:space="preserve"> </w:t>
      </w:r>
      <w:r w:rsidR="00AC58B3" w:rsidRPr="00AC58B3">
        <w:rPr>
          <w:rStyle w:val="normaltextrun"/>
          <w:rFonts w:ascii="Century Schoolbook" w:hAnsi="Century Schoolbook" w:cs="Calibri"/>
        </w:rPr>
        <w:t>As</w:t>
      </w:r>
      <w:r w:rsidR="005E45A4" w:rsidRPr="005E45A4">
        <w:rPr>
          <w:rStyle w:val="normaltextrun"/>
          <w:rFonts w:ascii="Century Schoolbook" w:hAnsi="Century Schoolbook" w:cs="Calibri"/>
        </w:rPr>
        <w:t xml:space="preserve"> she exited </w:t>
      </w:r>
      <w:r w:rsidR="003E1299" w:rsidRPr="003E1299">
        <w:rPr>
          <w:rStyle w:val="normaltextrun"/>
          <w:rFonts w:ascii="Century Schoolbook" w:hAnsi="Century Schoolbook" w:cs="Calibri"/>
        </w:rPr>
        <w:t>the break room</w:t>
      </w:r>
      <w:r w:rsidR="00AC58B3" w:rsidRPr="00AC58B3">
        <w:rPr>
          <w:rStyle w:val="normaltextrun"/>
          <w:rFonts w:ascii="Century Schoolbook" w:hAnsi="Century Schoolbook" w:cs="Calibri"/>
        </w:rPr>
        <w:t>,</w:t>
      </w:r>
      <w:r w:rsidR="003E1299" w:rsidRPr="003E1299">
        <w:rPr>
          <w:rStyle w:val="normaltextrun"/>
          <w:rFonts w:ascii="Century Schoolbook" w:hAnsi="Century Schoolbook" w:cs="Calibri"/>
        </w:rPr>
        <w:t xml:space="preserve"> she slipped and fell </w:t>
      </w:r>
      <w:r w:rsidR="00AC58B3" w:rsidRPr="00AC58B3">
        <w:rPr>
          <w:rStyle w:val="normaltextrun"/>
          <w:rFonts w:ascii="Century Schoolbook" w:hAnsi="Century Schoolbook" w:cs="Calibri"/>
        </w:rPr>
        <w:t>on water and suffered an injury</w:t>
      </w:r>
      <w:r w:rsidR="00C2733C" w:rsidRPr="00C2733C">
        <w:rPr>
          <w:rStyle w:val="normaltextrun"/>
          <w:rFonts w:ascii="Century Schoolbook" w:hAnsi="Century Schoolbook" w:cs="Calibri"/>
        </w:rPr>
        <w:t>. It</w:t>
      </w:r>
      <w:r w:rsidR="00C57049" w:rsidRPr="00C57049">
        <w:rPr>
          <w:rStyle w:val="normaltextrun"/>
          <w:rFonts w:ascii="Century Schoolbook" w:hAnsi="Century Schoolbook" w:cs="Calibri"/>
        </w:rPr>
        <w:t xml:space="preserve"> is </w:t>
      </w:r>
      <w:r w:rsidR="00380D44" w:rsidRPr="00380D44">
        <w:rPr>
          <w:rStyle w:val="normaltextrun"/>
          <w:rFonts w:ascii="Century Schoolbook" w:hAnsi="Century Schoolbook" w:cs="Calibri"/>
        </w:rPr>
        <w:t xml:space="preserve">undisputed that </w:t>
      </w:r>
      <w:r w:rsidR="000065B6">
        <w:rPr>
          <w:rStyle w:val="normaltextrun"/>
          <w:rFonts w:ascii="Century Schoolbook" w:hAnsi="Century Schoolbook" w:cs="Calibri"/>
        </w:rPr>
        <w:t>Frett</w:t>
      </w:r>
      <w:r w:rsidR="00380D44" w:rsidRPr="00380D44">
        <w:rPr>
          <w:rStyle w:val="normaltextrun"/>
          <w:rFonts w:ascii="Century Schoolbook" w:hAnsi="Century Schoolbook" w:cs="Calibri"/>
        </w:rPr>
        <w:t xml:space="preserve"> was still inside the break room when </w:t>
      </w:r>
      <w:r w:rsidR="00C2733C" w:rsidRPr="00C2733C">
        <w:rPr>
          <w:rStyle w:val="normaltextrun"/>
          <w:rFonts w:ascii="Century Schoolbook" w:hAnsi="Century Schoolbook" w:cs="Calibri"/>
        </w:rPr>
        <w:t xml:space="preserve">she fell. </w:t>
      </w:r>
    </w:p>
    <w:p w14:paraId="0002E274" w14:textId="77777777" w:rsidR="00AF35C5" w:rsidRDefault="005636FB" w:rsidP="000065B6">
      <w:pPr>
        <w:pStyle w:val="paragraph"/>
        <w:spacing w:before="0" w:beforeAutospacing="0" w:after="0" w:afterAutospacing="0" w:line="480" w:lineRule="auto"/>
        <w:ind w:firstLine="720"/>
        <w:textAlignment w:val="baseline"/>
        <w:rPr>
          <w:rStyle w:val="normaltextrun"/>
          <w:rFonts w:ascii="Century Schoolbook" w:hAnsi="Century Schoolbook" w:cs="Calibri"/>
        </w:rPr>
      </w:pPr>
      <w:r w:rsidRPr="005636FB">
        <w:rPr>
          <w:rStyle w:val="normaltextrun"/>
          <w:rFonts w:ascii="Century Schoolbook" w:hAnsi="Century Schoolbook" w:cs="Calibri"/>
        </w:rPr>
        <w:t>The issue, broadly defined, is whether the Claimant’s injury is compensable under O.C.G.A. § 34-9-1(4) of the Workers’ Compensation Act, which requires an injury to “arise out of and in the course of employment.”</w:t>
      </w:r>
      <w:r w:rsidR="000065B6">
        <w:rPr>
          <w:rStyle w:val="FootnoteReference"/>
          <w:rFonts w:ascii="Century Schoolbook" w:hAnsi="Century Schoolbook" w:cs="Calibri"/>
        </w:rPr>
        <w:footnoteReference w:id="12"/>
      </w:r>
      <w:r w:rsidRPr="005636FB">
        <w:rPr>
          <w:rStyle w:val="normaltextrun"/>
          <w:rFonts w:ascii="Century Schoolbook" w:hAnsi="Century Schoolbook" w:cs="Calibri"/>
        </w:rPr>
        <w:t xml:space="preserve"> Narrowly defined, the issue </w:t>
      </w:r>
      <w:r w:rsidRPr="00555689">
        <w:rPr>
          <w:rStyle w:val="normaltextrun"/>
          <w:rFonts w:ascii="Century Schoolbook" w:hAnsi="Century Schoolbook" w:cs="Calibri"/>
        </w:rPr>
        <w:t>is whether an employee who injures herself while leaving the employer’s premises to eat her lunch during her scheduled lunch time should be denied workers’ compensation benefits.</w:t>
      </w:r>
      <w:r w:rsidR="000065B6">
        <w:rPr>
          <w:rStyle w:val="normaltextrun"/>
          <w:rFonts w:ascii="Century Schoolbook" w:hAnsi="Century Schoolbook" w:cs="Calibri"/>
        </w:rPr>
        <w:t xml:space="preserve"> </w:t>
      </w:r>
      <w:r w:rsidR="00762932" w:rsidRPr="00555689">
        <w:rPr>
          <w:rStyle w:val="normaltextrun"/>
          <w:rFonts w:ascii="Century Schoolbook" w:hAnsi="Century Schoolbook" w:cs="Calibri"/>
        </w:rPr>
        <w:t xml:space="preserve">In </w:t>
      </w:r>
      <w:r w:rsidR="00085858" w:rsidRPr="00555689">
        <w:rPr>
          <w:rStyle w:val="normaltextrun"/>
          <w:rFonts w:ascii="Century Schoolbook" w:hAnsi="Century Schoolbook" w:cs="Calibri"/>
        </w:rPr>
        <w:t>this case</w:t>
      </w:r>
      <w:r w:rsidR="00762932" w:rsidRPr="00555689">
        <w:rPr>
          <w:rStyle w:val="normaltextrun"/>
          <w:rFonts w:ascii="Century Schoolbook" w:hAnsi="Century Schoolbook" w:cs="Calibri"/>
        </w:rPr>
        <w:t xml:space="preserve">, the litigation at the hearing level focused on the interaction between the “ingress and egress rule” and the “scheduled break defense”. </w:t>
      </w:r>
      <w:r w:rsidR="00F46615" w:rsidRPr="00555689">
        <w:rPr>
          <w:rStyle w:val="normaltextrun"/>
          <w:rFonts w:ascii="Century Schoolbook" w:hAnsi="Century Schoolbook" w:cs="Calibri"/>
        </w:rPr>
        <w:t xml:space="preserve"> </w:t>
      </w:r>
      <w:r w:rsidR="001B7719" w:rsidRPr="00555689">
        <w:rPr>
          <w:rStyle w:val="normaltextrun"/>
          <w:rFonts w:ascii="Century Schoolbook" w:hAnsi="Century Schoolbook" w:cs="Calibri"/>
        </w:rPr>
        <w:t xml:space="preserve">The Administrative law Judge’s award found that the accident </w:t>
      </w:r>
      <w:r w:rsidR="001B7719" w:rsidRPr="000065B6">
        <w:rPr>
          <w:rStyle w:val="normaltextrun"/>
          <w:rFonts w:ascii="Century Schoolbook" w:hAnsi="Century Schoolbook" w:cs="Calibri"/>
          <w:i/>
          <w:iCs/>
        </w:rPr>
        <w:lastRenderedPageBreak/>
        <w:t>arose out of and in the course of employment</w:t>
      </w:r>
      <w:r w:rsidR="001B7719" w:rsidRPr="00555689">
        <w:rPr>
          <w:rStyle w:val="normaltextrun"/>
          <w:rFonts w:ascii="Century Schoolbook" w:hAnsi="Century Schoolbook" w:cs="Calibri"/>
        </w:rPr>
        <w:t xml:space="preserve"> because of the </w:t>
      </w:r>
      <w:r w:rsidR="00FF2CA9">
        <w:rPr>
          <w:rStyle w:val="normaltextrun"/>
          <w:rFonts w:ascii="Century Schoolbook" w:hAnsi="Century Schoolbook" w:cs="Calibri"/>
        </w:rPr>
        <w:t>“ingress and egress” rule</w:t>
      </w:r>
      <w:r w:rsidR="000065B6">
        <w:rPr>
          <w:rStyle w:val="normaltextrun"/>
          <w:rFonts w:ascii="Century Schoolbook" w:hAnsi="Century Schoolbook" w:cs="Calibri"/>
        </w:rPr>
        <w:t>.</w:t>
      </w:r>
      <w:r w:rsidR="00FF2CA9">
        <w:rPr>
          <w:rStyle w:val="FootnoteReference"/>
          <w:rFonts w:ascii="Century Schoolbook" w:hAnsi="Century Schoolbook" w:cs="Calibri"/>
        </w:rPr>
        <w:footnoteReference w:id="13"/>
      </w:r>
      <w:r w:rsidR="001B7719" w:rsidRPr="00555689">
        <w:rPr>
          <w:rStyle w:val="normaltextrun"/>
          <w:rFonts w:ascii="Century Schoolbook" w:hAnsi="Century Schoolbook" w:cs="Calibri"/>
        </w:rPr>
        <w:t xml:space="preserve"> </w:t>
      </w:r>
    </w:p>
    <w:p w14:paraId="5AB003A3" w14:textId="0D2603C0" w:rsidR="00D32065" w:rsidRPr="00555689" w:rsidRDefault="0052470B" w:rsidP="008F2105">
      <w:pPr>
        <w:pStyle w:val="paragraph"/>
        <w:spacing w:before="0" w:beforeAutospacing="0" w:after="0" w:afterAutospacing="0" w:line="480" w:lineRule="auto"/>
        <w:ind w:firstLine="720"/>
        <w:textAlignment w:val="baseline"/>
        <w:rPr>
          <w:rStyle w:val="normaltextrun"/>
          <w:rFonts w:ascii="Century Schoolbook" w:hAnsi="Century Schoolbook" w:cs="Calibri"/>
        </w:rPr>
      </w:pPr>
      <w:r>
        <w:rPr>
          <w:rStyle w:val="normaltextrun"/>
          <w:rFonts w:ascii="Century Schoolbook" w:hAnsi="Century Schoolbook" w:cs="Calibri"/>
        </w:rPr>
        <w:t xml:space="preserve">However, </w:t>
      </w:r>
      <w:r w:rsidR="00CB1764">
        <w:rPr>
          <w:rStyle w:val="normaltextrun"/>
          <w:rFonts w:ascii="Century Schoolbook" w:hAnsi="Century Schoolbook" w:cs="Calibri"/>
        </w:rPr>
        <w:t>t</w:t>
      </w:r>
      <w:r w:rsidR="001B7719" w:rsidRPr="00555689">
        <w:rPr>
          <w:rStyle w:val="normaltextrun"/>
          <w:rFonts w:ascii="Century Schoolbook" w:hAnsi="Century Schoolbook" w:cs="Calibri"/>
        </w:rPr>
        <w:t xml:space="preserve">he Appellate Division held that Mrs. Frett’s accident did not arise out of employment due to the claimant being on a </w:t>
      </w:r>
      <w:r w:rsidR="00D32065" w:rsidRPr="00555689">
        <w:rPr>
          <w:rStyle w:val="normaltextrun"/>
          <w:rFonts w:ascii="Century Schoolbook" w:hAnsi="Century Schoolbook" w:cs="Calibri"/>
        </w:rPr>
        <w:t>“</w:t>
      </w:r>
      <w:r w:rsidR="001B7719" w:rsidRPr="00555689">
        <w:rPr>
          <w:rStyle w:val="normaltextrun"/>
          <w:rFonts w:ascii="Century Schoolbook" w:hAnsi="Century Schoolbook" w:cs="Calibri"/>
        </w:rPr>
        <w:t>scheduled break</w:t>
      </w:r>
      <w:r w:rsidR="00D32065" w:rsidRPr="00555689">
        <w:rPr>
          <w:rStyle w:val="normaltextrun"/>
          <w:rFonts w:ascii="Century Schoolbook" w:hAnsi="Century Schoolbook" w:cs="Calibri"/>
        </w:rPr>
        <w:t>”</w:t>
      </w:r>
      <w:r w:rsidR="001B7719" w:rsidRPr="00555689">
        <w:rPr>
          <w:rStyle w:val="normaltextrun"/>
          <w:rFonts w:ascii="Century Schoolbook" w:hAnsi="Century Schoolbook" w:cs="Calibri"/>
        </w:rPr>
        <w:t xml:space="preserve">. </w:t>
      </w:r>
      <w:r w:rsidR="00AF35C5">
        <w:rPr>
          <w:rStyle w:val="eop"/>
          <w:rFonts w:ascii="Century Schoolbook" w:hAnsi="Century Schoolbook" w:cs="Calibri"/>
        </w:rPr>
        <w:t xml:space="preserve">Although the </w:t>
      </w:r>
      <w:r w:rsidR="00AF35C5" w:rsidRPr="00E52C62">
        <w:rPr>
          <w:rStyle w:val="eop"/>
          <w:rFonts w:ascii="Century Schoolbook" w:hAnsi="Century Schoolbook" w:cs="Calibri"/>
          <w:i/>
          <w:iCs/>
        </w:rPr>
        <w:t>Rockwell</w:t>
      </w:r>
      <w:r w:rsidR="00AF35C5">
        <w:rPr>
          <w:rStyle w:val="eop"/>
          <w:rFonts w:ascii="Century Schoolbook" w:hAnsi="Century Schoolbook" w:cs="Calibri"/>
        </w:rPr>
        <w:t xml:space="preserve"> case held that the </w:t>
      </w:r>
      <w:r w:rsidR="00AF35C5" w:rsidRPr="00E52C62">
        <w:rPr>
          <w:rStyle w:val="eop"/>
          <w:rFonts w:ascii="Century Schoolbook" w:hAnsi="Century Schoolbook" w:cs="Calibri"/>
          <w:i/>
          <w:iCs/>
        </w:rPr>
        <w:t>ingress and egress</w:t>
      </w:r>
      <w:r w:rsidR="00AF35C5">
        <w:rPr>
          <w:rStyle w:val="eop"/>
          <w:rFonts w:ascii="Century Schoolbook" w:hAnsi="Century Schoolbook" w:cs="Calibri"/>
        </w:rPr>
        <w:t xml:space="preserve"> rule should apply to scheduled breaks, the Board’s Appellate Division declined to apply this precedent to workers’ comp cases on the basis that it was a negligence case (See attached Appellate Award for the Frett case).</w:t>
      </w:r>
      <w:r w:rsidR="008F2105">
        <w:rPr>
          <w:rStyle w:val="eop"/>
          <w:rFonts w:ascii="Century Schoolbook" w:hAnsi="Century Schoolbook" w:cs="Calibri"/>
        </w:rPr>
        <w:t xml:space="preserve"> The Appellate Division decision in Frett left the injured worker in a legal no-mans-land. There was simply no available</w:t>
      </w:r>
      <w:r w:rsidR="00A80F5F">
        <w:rPr>
          <w:rStyle w:val="eop"/>
          <w:rFonts w:ascii="Century Schoolbook" w:hAnsi="Century Schoolbook" w:cs="Calibri"/>
        </w:rPr>
        <w:t xml:space="preserve"> legal</w:t>
      </w:r>
      <w:r w:rsidR="008F2105">
        <w:rPr>
          <w:rStyle w:val="eop"/>
          <w:rFonts w:ascii="Century Schoolbook" w:hAnsi="Century Schoolbook" w:cs="Calibri"/>
        </w:rPr>
        <w:t xml:space="preserve"> remedy for injuries that occurred while the employee was leaving the premises to eat lunch. </w:t>
      </w:r>
      <w:r w:rsidR="008F2105" w:rsidRPr="00542B2D">
        <w:rPr>
          <w:rStyle w:val="eop"/>
          <w:rFonts w:ascii="Century Schoolbook" w:hAnsi="Century Schoolbook" w:cs="Calibri"/>
        </w:rPr>
        <w:t xml:space="preserve">This would be true even </w:t>
      </w:r>
      <w:r w:rsidR="008F2105">
        <w:rPr>
          <w:rStyle w:val="eop"/>
          <w:rFonts w:ascii="Century Schoolbook" w:hAnsi="Century Schoolbook" w:cs="Calibri"/>
        </w:rPr>
        <w:t>if the employer negligently dropped a piano on the employee’s head. The Court of Appeals would apply the exclusive remedy tort bar, and the Appellate Division would hold that the accident was not covered by the Workers’ Compensation Act (</w:t>
      </w:r>
      <w:r w:rsidR="006E5FE7">
        <w:rPr>
          <w:rStyle w:val="eop"/>
          <w:rFonts w:ascii="Century Schoolbook" w:hAnsi="Century Schoolbook" w:cs="Calibri"/>
        </w:rPr>
        <w:t>i.e.,</w:t>
      </w:r>
      <w:r w:rsidR="008F2105">
        <w:rPr>
          <w:rStyle w:val="eop"/>
          <w:rFonts w:ascii="Century Schoolbook" w:hAnsi="Century Schoolbook" w:cs="Calibri"/>
        </w:rPr>
        <w:t xml:space="preserve"> did not arise out of employment).</w:t>
      </w:r>
      <w:r w:rsidR="008F2105">
        <w:rPr>
          <w:rStyle w:val="FootnoteReference"/>
          <w:rFonts w:ascii="Century Schoolbook" w:hAnsi="Century Schoolbook" w:cs="Calibri"/>
        </w:rPr>
        <w:footnoteReference w:id="14"/>
      </w:r>
    </w:p>
    <w:p w14:paraId="18F7C595" w14:textId="6EBEEE62" w:rsidR="0066203B" w:rsidRDefault="0030035E" w:rsidP="003E3282">
      <w:pPr>
        <w:pStyle w:val="paragraph"/>
        <w:spacing w:before="0" w:beforeAutospacing="0" w:after="0" w:afterAutospacing="0" w:line="480" w:lineRule="auto"/>
        <w:ind w:firstLine="720"/>
        <w:textAlignment w:val="baseline"/>
        <w:rPr>
          <w:rStyle w:val="normaltextrun"/>
          <w:rFonts w:ascii="Century Schoolbook" w:hAnsi="Century Schoolbook" w:cs="Calibri"/>
        </w:rPr>
      </w:pPr>
      <w:r>
        <w:rPr>
          <w:rStyle w:val="normaltextrun"/>
          <w:rFonts w:ascii="Century Schoolbook" w:hAnsi="Century Schoolbook" w:cs="Calibri"/>
        </w:rPr>
        <w:t>On appeal, t</w:t>
      </w:r>
      <w:r w:rsidRPr="00555689">
        <w:rPr>
          <w:rStyle w:val="normaltextrun"/>
          <w:rFonts w:ascii="Century Schoolbook" w:hAnsi="Century Schoolbook" w:cs="Calibri"/>
        </w:rPr>
        <w:t xml:space="preserve">he </w:t>
      </w:r>
      <w:r>
        <w:rPr>
          <w:rStyle w:val="normaltextrun"/>
          <w:rFonts w:ascii="Century Schoolbook" w:hAnsi="Century Schoolbook" w:cs="Calibri"/>
        </w:rPr>
        <w:t>S</w:t>
      </w:r>
      <w:r w:rsidRPr="00555689">
        <w:rPr>
          <w:rStyle w:val="normaltextrun"/>
          <w:rFonts w:ascii="Century Schoolbook" w:hAnsi="Century Schoolbook" w:cs="Calibri"/>
        </w:rPr>
        <w:t xml:space="preserve">uperior Court </w:t>
      </w:r>
      <w:r>
        <w:rPr>
          <w:rStyle w:val="normaltextrun"/>
          <w:rFonts w:ascii="Century Schoolbook" w:hAnsi="Century Schoolbook" w:cs="Calibri"/>
        </w:rPr>
        <w:t>affirmed the denial of benefits by the</w:t>
      </w:r>
      <w:r w:rsidRPr="00555689">
        <w:rPr>
          <w:rStyle w:val="normaltextrun"/>
          <w:rFonts w:ascii="Century Schoolbook" w:hAnsi="Century Schoolbook" w:cs="Calibri"/>
        </w:rPr>
        <w:t xml:space="preserve"> Appellate </w:t>
      </w:r>
      <w:r>
        <w:rPr>
          <w:rStyle w:val="normaltextrun"/>
          <w:rFonts w:ascii="Century Schoolbook" w:hAnsi="Century Schoolbook" w:cs="Calibri"/>
        </w:rPr>
        <w:t>D</w:t>
      </w:r>
      <w:r w:rsidRPr="00555689">
        <w:rPr>
          <w:rStyle w:val="normaltextrun"/>
          <w:rFonts w:ascii="Century Schoolbook" w:hAnsi="Century Schoolbook" w:cs="Calibri"/>
        </w:rPr>
        <w:t xml:space="preserve">ivision. </w:t>
      </w:r>
      <w:r>
        <w:rPr>
          <w:rStyle w:val="normaltextrun"/>
          <w:rFonts w:ascii="Century Schoolbook" w:hAnsi="Century Schoolbook" w:cs="Calibri"/>
        </w:rPr>
        <w:t xml:space="preserve"> </w:t>
      </w:r>
      <w:r w:rsidR="00EF1F82" w:rsidRPr="00EF1F82">
        <w:rPr>
          <w:rStyle w:val="normaltextrun"/>
          <w:rFonts w:ascii="Century Schoolbook" w:hAnsi="Century Schoolbook" w:cs="Calibri"/>
        </w:rPr>
        <w:t xml:space="preserve">The Court of Appeals </w:t>
      </w:r>
      <w:r w:rsidR="00A55450" w:rsidRPr="00A55450">
        <w:rPr>
          <w:rStyle w:val="normaltextrun"/>
          <w:rFonts w:ascii="Century Schoolbook" w:hAnsi="Century Schoolbook" w:cs="Calibri"/>
        </w:rPr>
        <w:t>opinion</w:t>
      </w:r>
      <w:r w:rsidR="004D7FF5">
        <w:rPr>
          <w:rStyle w:val="normaltextrun"/>
          <w:rFonts w:ascii="Century Schoolbook" w:hAnsi="Century Schoolbook" w:cs="Calibri"/>
        </w:rPr>
        <w:t xml:space="preserve"> in </w:t>
      </w:r>
      <w:r w:rsidR="004D7FF5" w:rsidRPr="004D7FF5">
        <w:rPr>
          <w:rStyle w:val="normaltextrun"/>
          <w:rFonts w:ascii="Century Schoolbook" w:hAnsi="Century Schoolbook" w:cs="Calibri"/>
          <w:i/>
          <w:iCs/>
        </w:rPr>
        <w:t>Frett</w:t>
      </w:r>
      <w:r w:rsidR="001D2054">
        <w:rPr>
          <w:rStyle w:val="normaltextrun"/>
          <w:rFonts w:ascii="Century Schoolbook" w:hAnsi="Century Schoolbook" w:cs="Calibri"/>
          <w:i/>
          <w:iCs/>
        </w:rPr>
        <w:t>,</w:t>
      </w:r>
      <w:r w:rsidR="001D2054" w:rsidRPr="001D2054">
        <w:t xml:space="preserve"> </w:t>
      </w:r>
      <w:r w:rsidR="001D2054" w:rsidRPr="001D2054">
        <w:rPr>
          <w:rStyle w:val="normaltextrun"/>
          <w:rFonts w:ascii="Century Schoolbook" w:hAnsi="Century Schoolbook" w:cs="Calibri"/>
          <w:i/>
          <w:iCs/>
        </w:rPr>
        <w:t>348 Ga.</w:t>
      </w:r>
      <w:r w:rsidR="00B07269">
        <w:rPr>
          <w:rStyle w:val="normaltextrun"/>
          <w:rFonts w:ascii="Century Schoolbook" w:hAnsi="Century Schoolbook" w:cs="Calibri"/>
          <w:i/>
          <w:iCs/>
        </w:rPr>
        <w:t xml:space="preserve"> </w:t>
      </w:r>
      <w:r w:rsidR="001D2054" w:rsidRPr="001D2054">
        <w:rPr>
          <w:rStyle w:val="normaltextrun"/>
          <w:rFonts w:ascii="Century Schoolbook" w:hAnsi="Century Schoolbook" w:cs="Calibri"/>
          <w:i/>
          <w:iCs/>
        </w:rPr>
        <w:t>App.</w:t>
      </w:r>
      <w:r w:rsidR="00B07269">
        <w:rPr>
          <w:rStyle w:val="normaltextrun"/>
          <w:rFonts w:ascii="Century Schoolbook" w:hAnsi="Century Schoolbook" w:cs="Calibri"/>
          <w:i/>
          <w:iCs/>
        </w:rPr>
        <w:t xml:space="preserve"> 30,</w:t>
      </w:r>
      <w:r w:rsidR="00E11D76">
        <w:rPr>
          <w:rStyle w:val="normaltextrun"/>
          <w:rFonts w:ascii="Century Schoolbook" w:hAnsi="Century Schoolbook" w:cs="Calibri"/>
        </w:rPr>
        <w:t xml:space="preserve"> (later reversed by the </w:t>
      </w:r>
      <w:r w:rsidR="00AC6555">
        <w:rPr>
          <w:rStyle w:val="normaltextrun"/>
          <w:rFonts w:ascii="Century Schoolbook" w:hAnsi="Century Schoolbook" w:cs="Calibri"/>
        </w:rPr>
        <w:t>S</w:t>
      </w:r>
      <w:r w:rsidR="00E11D76">
        <w:rPr>
          <w:rStyle w:val="normaltextrun"/>
          <w:rFonts w:ascii="Century Schoolbook" w:hAnsi="Century Schoolbook" w:cs="Calibri"/>
        </w:rPr>
        <w:t>upreme Court)</w:t>
      </w:r>
      <w:r w:rsidR="00A55450" w:rsidRPr="00A55450">
        <w:rPr>
          <w:rStyle w:val="normaltextrun"/>
          <w:rFonts w:ascii="Century Schoolbook" w:hAnsi="Century Schoolbook" w:cs="Calibri"/>
        </w:rPr>
        <w:t xml:space="preserve"> </w:t>
      </w:r>
      <w:r w:rsidR="003E228C" w:rsidRPr="003E228C">
        <w:rPr>
          <w:rStyle w:val="normaltextrun"/>
          <w:rFonts w:ascii="Century Schoolbook" w:hAnsi="Century Schoolbook" w:cs="Calibri"/>
        </w:rPr>
        <w:t xml:space="preserve">noted that </w:t>
      </w:r>
      <w:r w:rsidR="00F80399">
        <w:rPr>
          <w:rStyle w:val="normaltextrun"/>
          <w:rFonts w:ascii="Century Schoolbook" w:hAnsi="Century Schoolbook" w:cs="Calibri"/>
        </w:rPr>
        <w:t xml:space="preserve">the </w:t>
      </w:r>
      <w:r w:rsidR="00F80399" w:rsidRPr="00F80399">
        <w:rPr>
          <w:rStyle w:val="normaltextrun"/>
          <w:rFonts w:ascii="Century Schoolbook" w:hAnsi="Century Schoolbook" w:cs="Calibri"/>
        </w:rPr>
        <w:t>case law regarding the intersection of the ingress and egress rule with the scheduled break rule create</w:t>
      </w:r>
      <w:r w:rsidR="00181302">
        <w:rPr>
          <w:rStyle w:val="normaltextrun"/>
          <w:rFonts w:ascii="Century Schoolbook" w:hAnsi="Century Schoolbook" w:cs="Calibri"/>
        </w:rPr>
        <w:t>d</w:t>
      </w:r>
      <w:r w:rsidR="00F80399" w:rsidRPr="00F80399">
        <w:rPr>
          <w:rStyle w:val="normaltextrun"/>
          <w:rFonts w:ascii="Century Schoolbook" w:hAnsi="Century Schoolbook" w:cs="Calibri"/>
        </w:rPr>
        <w:t xml:space="preserve"> </w:t>
      </w:r>
      <w:r w:rsidR="00181302">
        <w:rPr>
          <w:rStyle w:val="normaltextrun"/>
          <w:rFonts w:ascii="Century Schoolbook" w:hAnsi="Century Schoolbook" w:cs="Calibri"/>
        </w:rPr>
        <w:t>“</w:t>
      </w:r>
      <w:r w:rsidR="00F80399" w:rsidRPr="00F80399">
        <w:rPr>
          <w:rStyle w:val="normaltextrun"/>
          <w:rFonts w:ascii="Century Schoolbook" w:hAnsi="Century Schoolbook" w:cs="Calibri"/>
        </w:rPr>
        <w:t>anomalous and arbitrary results</w:t>
      </w:r>
      <w:r w:rsidR="00181302">
        <w:rPr>
          <w:rStyle w:val="normaltextrun"/>
          <w:rFonts w:ascii="Century Schoolbook" w:hAnsi="Century Schoolbook" w:cs="Calibri"/>
        </w:rPr>
        <w:t>”</w:t>
      </w:r>
      <w:r w:rsidR="00F80399" w:rsidRPr="00F80399">
        <w:rPr>
          <w:rStyle w:val="normaltextrun"/>
          <w:rFonts w:ascii="Century Schoolbook" w:hAnsi="Century Schoolbook" w:cs="Calibri"/>
        </w:rPr>
        <w:t xml:space="preserve">. </w:t>
      </w:r>
      <w:r w:rsidR="00181302">
        <w:rPr>
          <w:rStyle w:val="normaltextrun"/>
          <w:rFonts w:ascii="Century Schoolbook" w:hAnsi="Century Schoolbook" w:cs="Calibri"/>
        </w:rPr>
        <w:t>The Court held that t</w:t>
      </w:r>
      <w:r w:rsidR="001B7719">
        <w:rPr>
          <w:rStyle w:val="normaltextrun"/>
          <w:rFonts w:ascii="Century Schoolbook" w:hAnsi="Century Schoolbook" w:cs="Calibri"/>
        </w:rPr>
        <w:t>hese contradictory lines of cases</w:t>
      </w:r>
      <w:r w:rsidR="00DE6C6A">
        <w:rPr>
          <w:rStyle w:val="normaltextrun"/>
          <w:rFonts w:ascii="Century Schoolbook" w:hAnsi="Century Schoolbook" w:cs="Calibri"/>
        </w:rPr>
        <w:t xml:space="preserve"> (</w:t>
      </w:r>
      <w:r w:rsidR="00DE6C6A">
        <w:rPr>
          <w:rStyle w:val="normaltextrun"/>
          <w:rFonts w:ascii="Century Schoolbook" w:hAnsi="Century Schoolbook" w:cs="Calibri"/>
          <w:i/>
          <w:iCs/>
        </w:rPr>
        <w:t>Honea</w:t>
      </w:r>
      <w:r w:rsidR="00DE6C6A">
        <w:rPr>
          <w:rStyle w:val="normaltextrun"/>
          <w:rFonts w:ascii="Century Schoolbook" w:hAnsi="Century Schoolbook" w:cs="Calibri"/>
        </w:rPr>
        <w:t xml:space="preserve"> </w:t>
      </w:r>
      <w:r w:rsidR="00DE6C6A">
        <w:rPr>
          <w:rStyle w:val="normaltextrun"/>
          <w:rFonts w:ascii="Century Schoolbook" w:hAnsi="Century Schoolbook" w:cs="Calibri"/>
        </w:rPr>
        <w:lastRenderedPageBreak/>
        <w:t xml:space="preserve">and </w:t>
      </w:r>
      <w:r w:rsidR="00DE6C6A">
        <w:rPr>
          <w:rStyle w:val="normaltextrun"/>
          <w:rFonts w:ascii="Century Schoolbook" w:hAnsi="Century Schoolbook" w:cs="Calibri"/>
          <w:i/>
          <w:iCs/>
        </w:rPr>
        <w:t>Rockwell</w:t>
      </w:r>
      <w:r w:rsidR="00DE6C6A">
        <w:rPr>
          <w:rStyle w:val="normaltextrun"/>
          <w:rFonts w:ascii="Century Schoolbook" w:hAnsi="Century Schoolbook" w:cs="Calibri"/>
        </w:rPr>
        <w:t>)</w:t>
      </w:r>
      <w:r w:rsidR="001B7719">
        <w:rPr>
          <w:rStyle w:val="normaltextrun"/>
          <w:rFonts w:ascii="Century Schoolbook" w:hAnsi="Century Schoolbook" w:cs="Calibri"/>
        </w:rPr>
        <w:t xml:space="preserve"> should not have been allowed to co-exist.</w:t>
      </w:r>
      <w:r w:rsidR="009702C5">
        <w:rPr>
          <w:rStyle w:val="normaltextrun"/>
          <w:rFonts w:ascii="Century Schoolbook" w:hAnsi="Century Schoolbook" w:cs="Calibri"/>
        </w:rPr>
        <w:t xml:space="preserve"> </w:t>
      </w:r>
      <w:r w:rsidR="00C35D03">
        <w:rPr>
          <w:rStyle w:val="normaltextrun"/>
          <w:rFonts w:ascii="Century Schoolbook" w:hAnsi="Century Schoolbook" w:cs="Calibri"/>
        </w:rPr>
        <w:t>The Court emphasized that workers</w:t>
      </w:r>
      <w:r w:rsidR="00A370E1">
        <w:rPr>
          <w:rStyle w:val="normaltextrun"/>
          <w:rFonts w:ascii="Century Schoolbook" w:hAnsi="Century Schoolbook" w:cs="Calibri"/>
        </w:rPr>
        <w:t>’</w:t>
      </w:r>
      <w:r w:rsidR="00C35D03">
        <w:rPr>
          <w:rStyle w:val="normaltextrun"/>
          <w:rFonts w:ascii="Century Schoolbook" w:hAnsi="Century Schoolbook" w:cs="Calibri"/>
        </w:rPr>
        <w:t xml:space="preserve"> needed clarity about whether they should sue in tort or seek workers</w:t>
      </w:r>
      <w:r w:rsidR="00025116">
        <w:rPr>
          <w:rStyle w:val="normaltextrun"/>
          <w:rFonts w:ascii="Century Schoolbook" w:hAnsi="Century Schoolbook" w:cs="Calibri"/>
        </w:rPr>
        <w:t>’</w:t>
      </w:r>
      <w:r w:rsidR="00C35D03">
        <w:rPr>
          <w:rStyle w:val="normaltextrun"/>
          <w:rFonts w:ascii="Century Schoolbook" w:hAnsi="Century Schoolbook" w:cs="Calibri"/>
        </w:rPr>
        <w:t xml:space="preserve"> comp</w:t>
      </w:r>
      <w:r w:rsidR="00025116">
        <w:rPr>
          <w:rStyle w:val="normaltextrun"/>
          <w:rFonts w:ascii="Century Schoolbook" w:hAnsi="Century Schoolbook" w:cs="Calibri"/>
        </w:rPr>
        <w:t>ensation</w:t>
      </w:r>
      <w:r w:rsidR="00C35D03">
        <w:rPr>
          <w:rStyle w:val="normaltextrun"/>
          <w:rFonts w:ascii="Century Schoolbook" w:hAnsi="Century Schoolbook" w:cs="Calibri"/>
        </w:rPr>
        <w:t xml:space="preserve"> benefits for lunchtime injuries</w:t>
      </w:r>
      <w:r w:rsidR="00AF2D43">
        <w:rPr>
          <w:rStyle w:val="normaltextrun"/>
          <w:rFonts w:ascii="Century Schoolbook" w:hAnsi="Century Schoolbook" w:cs="Calibri"/>
        </w:rPr>
        <w:t xml:space="preserve">. Ultimately, </w:t>
      </w:r>
      <w:r w:rsidR="00320EAB">
        <w:rPr>
          <w:rStyle w:val="normaltextrun"/>
          <w:rFonts w:ascii="Century Schoolbook" w:hAnsi="Century Schoolbook" w:cs="Calibri"/>
        </w:rPr>
        <w:t>t</w:t>
      </w:r>
      <w:r w:rsidR="00AF2D43">
        <w:rPr>
          <w:rStyle w:val="normaltextrun"/>
          <w:rFonts w:ascii="Century Schoolbook" w:hAnsi="Century Schoolbook" w:cs="Calibri"/>
        </w:rPr>
        <w:t xml:space="preserve">he </w:t>
      </w:r>
      <w:r w:rsidR="00AF2D43" w:rsidRPr="00283015">
        <w:rPr>
          <w:rStyle w:val="normaltextrun"/>
          <w:rFonts w:ascii="Century Schoolbook" w:hAnsi="Century Schoolbook" w:cs="Calibri"/>
        </w:rPr>
        <w:t>Court</w:t>
      </w:r>
      <w:r w:rsidR="00283015" w:rsidRPr="00283015">
        <w:rPr>
          <w:rStyle w:val="normaltextrun"/>
          <w:rFonts w:ascii="Century Schoolbook" w:hAnsi="Century Schoolbook" w:cs="Calibri"/>
        </w:rPr>
        <w:t xml:space="preserve"> </w:t>
      </w:r>
      <w:r w:rsidR="00664313" w:rsidRPr="00664313">
        <w:rPr>
          <w:rStyle w:val="normaltextrun"/>
          <w:rFonts w:ascii="Century Schoolbook" w:hAnsi="Century Schoolbook" w:cs="Calibri"/>
        </w:rPr>
        <w:t>"'conclude[d] that the extension of the ingress and egress rule to cover cases in which the employee is injured while leaving and returning to work on a regularly scheduled break was an improper dilution of the Supreme Court's decision in Farr</w:t>
      </w:r>
      <w:r w:rsidR="000F2F69">
        <w:rPr>
          <w:rStyle w:val="normaltextrun"/>
          <w:rFonts w:ascii="Century Schoolbook" w:hAnsi="Century Schoolbook" w:cs="Calibri"/>
        </w:rPr>
        <w:t>.”</w:t>
      </w:r>
      <w:r w:rsidR="00664313" w:rsidRPr="00664313">
        <w:rPr>
          <w:rStyle w:val="normaltextrun"/>
          <w:rFonts w:ascii="Century Schoolbook" w:hAnsi="Century Schoolbook" w:cs="Calibri"/>
        </w:rPr>
        <w:t xml:space="preserve"> </w:t>
      </w:r>
      <w:r w:rsidR="0030535B">
        <w:rPr>
          <w:rStyle w:val="normaltextrun"/>
          <w:rFonts w:ascii="Century Schoolbook" w:hAnsi="Century Schoolbook" w:cs="Calibri"/>
        </w:rPr>
        <w:t xml:space="preserve"> </w:t>
      </w:r>
      <w:r w:rsidR="00217E21">
        <w:rPr>
          <w:rStyle w:val="normaltextrun"/>
          <w:rFonts w:ascii="Century Schoolbook" w:hAnsi="Century Schoolbook" w:cs="Calibri"/>
        </w:rPr>
        <w:t>But</w:t>
      </w:r>
      <w:r w:rsidR="0066203B">
        <w:rPr>
          <w:rStyle w:val="normaltextrun"/>
          <w:rFonts w:ascii="Century Schoolbook" w:hAnsi="Century Schoolbook" w:cs="Calibri"/>
        </w:rPr>
        <w:t xml:space="preserve"> </w:t>
      </w:r>
      <w:r w:rsidR="00320EAB">
        <w:rPr>
          <w:rStyle w:val="normaltextrun"/>
          <w:rFonts w:ascii="Century Schoolbook" w:hAnsi="Century Schoolbook" w:cs="Calibri"/>
        </w:rPr>
        <w:t>t</w:t>
      </w:r>
      <w:r w:rsidR="0066203B" w:rsidRPr="00BB774D">
        <w:rPr>
          <w:rStyle w:val="normaltextrun"/>
          <w:rFonts w:ascii="Century Schoolbook" w:hAnsi="Century Schoolbook" w:cs="Calibri"/>
        </w:rPr>
        <w:t xml:space="preserve">he Court of Appeals’ decision </w:t>
      </w:r>
      <w:r w:rsidR="00FE6A3D" w:rsidRPr="00BB774D">
        <w:rPr>
          <w:rStyle w:val="normaltextrun"/>
          <w:rFonts w:ascii="Century Schoolbook" w:hAnsi="Century Schoolbook" w:cs="Calibri"/>
        </w:rPr>
        <w:t>led</w:t>
      </w:r>
      <w:r w:rsidR="0066203B">
        <w:rPr>
          <w:rStyle w:val="normaltextrun"/>
          <w:rFonts w:ascii="Century Schoolbook" w:hAnsi="Century Schoolbook" w:cs="Calibri"/>
        </w:rPr>
        <w:t xml:space="preserve"> </w:t>
      </w:r>
      <w:r w:rsidR="0066203B" w:rsidRPr="00BB774D">
        <w:rPr>
          <w:rStyle w:val="normaltextrun"/>
          <w:rFonts w:ascii="Century Schoolbook" w:hAnsi="Century Schoolbook" w:cs="Calibri"/>
        </w:rPr>
        <w:t>to its own absurdities. Under Frett, an employee who falls while exiting her employer's premises to go home for the evening would be covered under the Act, but if she was exiting her employer's premises to go home to have lunch, intending to return to work, she would not be covered.</w:t>
      </w:r>
    </w:p>
    <w:p w14:paraId="6B005297" w14:textId="3F638384" w:rsidR="00BB238A" w:rsidRDefault="0030535B" w:rsidP="003E3282">
      <w:pPr>
        <w:pStyle w:val="paragraph"/>
        <w:spacing w:before="0" w:beforeAutospacing="0" w:after="0" w:afterAutospacing="0" w:line="480" w:lineRule="auto"/>
        <w:ind w:firstLine="720"/>
        <w:textAlignment w:val="baseline"/>
        <w:rPr>
          <w:rStyle w:val="normaltextrun"/>
          <w:rFonts w:ascii="Century Schoolbook" w:hAnsi="Century Schoolbook" w:cs="Calibri"/>
        </w:rPr>
      </w:pPr>
      <w:r>
        <w:rPr>
          <w:rStyle w:val="normaltextrun"/>
          <w:rFonts w:ascii="Century Schoolbook" w:hAnsi="Century Schoolbook" w:cs="Calibri"/>
        </w:rPr>
        <w:t xml:space="preserve">However, </w:t>
      </w:r>
      <w:r w:rsidR="00E16ED5" w:rsidRPr="00E66544">
        <w:rPr>
          <w:rStyle w:val="normaltextrun"/>
          <w:rFonts w:ascii="Century Schoolbook" w:hAnsi="Century Schoolbook" w:cs="Calibri"/>
        </w:rPr>
        <w:t>the</w:t>
      </w:r>
      <w:r w:rsidR="00E66544" w:rsidRPr="00E66544">
        <w:rPr>
          <w:rStyle w:val="normaltextrun"/>
          <w:rFonts w:ascii="Century Schoolbook" w:hAnsi="Century Schoolbook" w:cs="Calibri"/>
        </w:rPr>
        <w:t xml:space="preserve"> majority and dissenting opinions agreed that </w:t>
      </w:r>
      <w:r w:rsidR="00E94B7B" w:rsidRPr="00E94B7B">
        <w:rPr>
          <w:rStyle w:val="normaltextrun"/>
          <w:rFonts w:ascii="Century Schoolbook" w:hAnsi="Century Schoolbook" w:cs="Calibri"/>
        </w:rPr>
        <w:t xml:space="preserve">the </w:t>
      </w:r>
      <w:r w:rsidR="00296E4E" w:rsidRPr="00296E4E">
        <w:rPr>
          <w:rStyle w:val="normaltextrun"/>
          <w:rFonts w:ascii="Century Schoolbook" w:hAnsi="Century Schoolbook" w:cs="Calibri"/>
        </w:rPr>
        <w:t xml:space="preserve">Supreme Court </w:t>
      </w:r>
      <w:r w:rsidR="00A87E97" w:rsidRPr="00A87E97">
        <w:rPr>
          <w:rStyle w:val="normaltextrun"/>
          <w:rFonts w:ascii="Century Schoolbook" w:hAnsi="Century Schoolbook" w:cs="Calibri"/>
        </w:rPr>
        <w:t xml:space="preserve">needed to </w:t>
      </w:r>
      <w:r w:rsidR="005B2FA7" w:rsidRPr="005B2FA7">
        <w:rPr>
          <w:rStyle w:val="normaltextrun"/>
          <w:rFonts w:ascii="Century Schoolbook" w:hAnsi="Century Schoolbook" w:cs="Calibri"/>
        </w:rPr>
        <w:t xml:space="preserve">address </w:t>
      </w:r>
      <w:r w:rsidR="000239F7" w:rsidRPr="000239F7">
        <w:rPr>
          <w:rStyle w:val="normaltextrun"/>
          <w:rFonts w:ascii="Century Schoolbook" w:hAnsi="Century Schoolbook" w:cs="Calibri"/>
        </w:rPr>
        <w:t xml:space="preserve">the question </w:t>
      </w:r>
      <w:r w:rsidR="009F2F59" w:rsidRPr="009F2F59">
        <w:rPr>
          <w:rStyle w:val="normaltextrun"/>
          <w:rFonts w:ascii="Century Schoolbook" w:hAnsi="Century Schoolbook" w:cs="Calibri"/>
        </w:rPr>
        <w:t xml:space="preserve">of </w:t>
      </w:r>
      <w:r w:rsidR="008E2626" w:rsidRPr="008E2626">
        <w:rPr>
          <w:rStyle w:val="normaltextrun"/>
          <w:rFonts w:ascii="Century Schoolbook" w:hAnsi="Century Schoolbook" w:cs="Calibri"/>
        </w:rPr>
        <w:t xml:space="preserve">how the ingress and egress rule and </w:t>
      </w:r>
      <w:r w:rsidR="004278F9" w:rsidRPr="004278F9">
        <w:rPr>
          <w:rStyle w:val="normaltextrun"/>
          <w:rFonts w:ascii="Century Schoolbook" w:hAnsi="Century Schoolbook" w:cs="Calibri"/>
        </w:rPr>
        <w:t>the scheduled break rule should interact</w:t>
      </w:r>
      <w:r w:rsidR="001E4704" w:rsidRPr="001E4704">
        <w:rPr>
          <w:rStyle w:val="normaltextrun"/>
          <w:rFonts w:ascii="Century Schoolbook" w:hAnsi="Century Schoolbook" w:cs="Calibri"/>
        </w:rPr>
        <w:t xml:space="preserve">. </w:t>
      </w:r>
      <w:r w:rsidR="00521F1D">
        <w:rPr>
          <w:rStyle w:val="normaltextrun"/>
          <w:rFonts w:ascii="Century Schoolbook" w:hAnsi="Century Schoolbook" w:cs="Calibri"/>
        </w:rPr>
        <w:t>The Supreme Court did</w:t>
      </w:r>
      <w:r w:rsidR="00B36F99">
        <w:rPr>
          <w:rStyle w:val="normaltextrun"/>
          <w:rFonts w:ascii="Century Schoolbook" w:hAnsi="Century Schoolbook" w:cs="Calibri"/>
        </w:rPr>
        <w:t xml:space="preserve"> decide to hear the issue, </w:t>
      </w:r>
      <w:r w:rsidR="00FB7ABC">
        <w:rPr>
          <w:rStyle w:val="normaltextrun"/>
          <w:rFonts w:ascii="Century Schoolbook" w:hAnsi="Century Schoolbook" w:cs="Calibri"/>
        </w:rPr>
        <w:t xml:space="preserve">and the resulting decision </w:t>
      </w:r>
      <w:r w:rsidR="00B02FBB">
        <w:rPr>
          <w:rStyle w:val="normaltextrun"/>
          <w:rFonts w:ascii="Century Schoolbook" w:hAnsi="Century Schoolbook" w:cs="Calibri"/>
        </w:rPr>
        <w:t>overturned 85 years of caselaw</w:t>
      </w:r>
      <w:r w:rsidR="00B70DC7">
        <w:rPr>
          <w:rStyle w:val="normaltextrun"/>
          <w:rFonts w:ascii="Century Schoolbook" w:hAnsi="Century Schoolbook" w:cs="Calibri"/>
        </w:rPr>
        <w:t xml:space="preserve"> </w:t>
      </w:r>
      <w:r w:rsidR="00B361DE">
        <w:rPr>
          <w:rStyle w:val="normaltextrun"/>
          <w:rFonts w:ascii="Century Schoolbook" w:hAnsi="Century Schoolbook" w:cs="Calibri"/>
        </w:rPr>
        <w:t>relating to the so-called “scheduled break” defense.</w:t>
      </w:r>
    </w:p>
    <w:p w14:paraId="1AE9E3F9" w14:textId="77777777" w:rsidR="005D5234" w:rsidRPr="00101965" w:rsidRDefault="005D5234" w:rsidP="008248BC">
      <w:pPr>
        <w:pStyle w:val="paragraph"/>
        <w:spacing w:before="0" w:beforeAutospacing="0" w:after="0" w:afterAutospacing="0" w:line="480" w:lineRule="auto"/>
        <w:textAlignment w:val="baseline"/>
        <w:rPr>
          <w:rStyle w:val="eop"/>
          <w:rFonts w:ascii="Century Schoolbook" w:hAnsi="Century Schoolbook" w:cs="Calibri"/>
          <w:spacing w:val="20"/>
        </w:rPr>
      </w:pPr>
    </w:p>
    <w:p w14:paraId="4FBFA245" w14:textId="7D6FC7FF" w:rsidR="005D5234" w:rsidRPr="00101965" w:rsidRDefault="005D5234" w:rsidP="005D5234">
      <w:pPr>
        <w:pStyle w:val="paragraph"/>
        <w:spacing w:before="0" w:beforeAutospacing="0" w:after="0" w:afterAutospacing="0" w:line="480" w:lineRule="auto"/>
        <w:jc w:val="center"/>
        <w:textAlignment w:val="baseline"/>
        <w:rPr>
          <w:rStyle w:val="normaltextrun"/>
          <w:rFonts w:ascii="Century Schoolbook" w:hAnsi="Century Schoolbook" w:cs="Calibri"/>
          <w:spacing w:val="20"/>
        </w:rPr>
      </w:pPr>
      <w:r w:rsidRPr="00101965">
        <w:rPr>
          <w:rStyle w:val="normaltextrun"/>
          <w:rFonts w:ascii="Century Schoolbook" w:hAnsi="Century Schoolbook" w:cs="Calibri"/>
          <w:spacing w:val="20"/>
        </w:rPr>
        <w:t xml:space="preserve">WHAT IS THE “TAKEAWAY” FROM </w:t>
      </w:r>
      <w:r w:rsidR="008248BC" w:rsidRPr="00101965">
        <w:rPr>
          <w:rStyle w:val="normaltextrun"/>
          <w:rFonts w:ascii="Century Schoolbook" w:hAnsi="Century Schoolbook" w:cs="Calibri"/>
          <w:spacing w:val="20"/>
        </w:rPr>
        <w:t xml:space="preserve">SUPREME COURT’S DECISION IN </w:t>
      </w:r>
      <w:r w:rsidRPr="00101965">
        <w:rPr>
          <w:rStyle w:val="normaltextrun"/>
          <w:rFonts w:ascii="Century Schoolbook" w:hAnsi="Century Schoolbook" w:cs="Calibri"/>
          <w:spacing w:val="20"/>
        </w:rPr>
        <w:t>FRETT V STATE FARM?</w:t>
      </w:r>
    </w:p>
    <w:p w14:paraId="05C1170C" w14:textId="77777777" w:rsidR="005D5234" w:rsidRPr="001716C7" w:rsidRDefault="005D5234" w:rsidP="005D5234">
      <w:pPr>
        <w:pStyle w:val="paragraph"/>
        <w:spacing w:before="0" w:beforeAutospacing="0" w:after="0" w:afterAutospacing="0" w:line="480" w:lineRule="auto"/>
        <w:jc w:val="center"/>
        <w:textAlignment w:val="baseline"/>
        <w:rPr>
          <w:rStyle w:val="normaltextrun"/>
          <w:rFonts w:ascii="Century Schoolbook" w:hAnsi="Century Schoolbook" w:cs="Calibri"/>
          <w:b/>
          <w:bCs/>
        </w:rPr>
      </w:pPr>
    </w:p>
    <w:p w14:paraId="5B9DE300" w14:textId="121DD749" w:rsidR="005D5234" w:rsidRPr="001F599F" w:rsidRDefault="005D5234" w:rsidP="005D5234">
      <w:pPr>
        <w:pStyle w:val="paragraph"/>
        <w:spacing w:before="0" w:beforeAutospacing="0" w:after="0" w:afterAutospacing="0" w:line="480" w:lineRule="auto"/>
        <w:ind w:firstLine="720"/>
        <w:textAlignment w:val="baseline"/>
        <w:rPr>
          <w:rFonts w:ascii="Century Schoolbook" w:hAnsi="Century Schoolbook" w:cs="Segoe UI"/>
        </w:rPr>
      </w:pPr>
      <w:r w:rsidRPr="001F599F">
        <w:rPr>
          <w:rStyle w:val="normaltextrun"/>
          <w:rFonts w:ascii="Century Schoolbook" w:hAnsi="Century Schoolbook" w:cs="Calibri"/>
        </w:rPr>
        <w:t>Ultimately the Supreme Court decided</w:t>
      </w:r>
      <w:r w:rsidR="004C4B1E">
        <w:rPr>
          <w:rStyle w:val="normaltextrun"/>
          <w:rFonts w:ascii="Century Schoolbook" w:hAnsi="Century Schoolbook" w:cs="Calibri"/>
        </w:rPr>
        <w:t xml:space="preserve"> to overturn </w:t>
      </w:r>
      <w:r w:rsidR="001F0F59" w:rsidRPr="00542B2D">
        <w:rPr>
          <w:rFonts w:ascii="Century Schoolbook" w:hAnsi="Century Schoolbook"/>
          <w:i/>
          <w:iCs/>
        </w:rPr>
        <w:t>Ocean Acct. &amp; Ga</w:t>
      </w:r>
      <w:r w:rsidR="006E5FE7">
        <w:rPr>
          <w:rFonts w:ascii="Century Schoolbook" w:hAnsi="Century Schoolbook"/>
          <w:i/>
          <w:iCs/>
        </w:rPr>
        <w:t>u</w:t>
      </w:r>
      <w:r w:rsidR="001F0F59" w:rsidRPr="00542B2D">
        <w:rPr>
          <w:rFonts w:ascii="Century Schoolbook" w:hAnsi="Century Schoolbook"/>
          <w:i/>
          <w:iCs/>
        </w:rPr>
        <w:t>r. Corp. v. Farr</w:t>
      </w:r>
      <w:r w:rsidR="004C4B1E">
        <w:rPr>
          <w:rStyle w:val="normaltextrun"/>
          <w:rFonts w:ascii="Century Schoolbook" w:hAnsi="Century Schoolbook" w:cs="Calibri"/>
        </w:rPr>
        <w:t xml:space="preserve">. The Court </w:t>
      </w:r>
      <w:r w:rsidR="00406F26">
        <w:rPr>
          <w:rStyle w:val="normaltextrun"/>
          <w:rFonts w:ascii="Century Schoolbook" w:hAnsi="Century Schoolbook" w:cs="Calibri"/>
        </w:rPr>
        <w:t>h</w:t>
      </w:r>
      <w:r w:rsidR="004C4B1E">
        <w:rPr>
          <w:rStyle w:val="normaltextrun"/>
          <w:rFonts w:ascii="Century Schoolbook" w:hAnsi="Century Schoolbook" w:cs="Calibri"/>
        </w:rPr>
        <w:t xml:space="preserve">eld </w:t>
      </w:r>
      <w:r w:rsidR="00406F26">
        <w:rPr>
          <w:rStyle w:val="normaltextrun"/>
          <w:rFonts w:ascii="Century Schoolbook" w:hAnsi="Century Schoolbook" w:cs="Calibri"/>
        </w:rPr>
        <w:t>that</w:t>
      </w:r>
      <w:r w:rsidR="00406F26" w:rsidRPr="001F599F">
        <w:rPr>
          <w:rStyle w:val="normaltextrun"/>
          <w:rFonts w:ascii="Century Schoolbook" w:hAnsi="Century Schoolbook" w:cs="Calibri"/>
        </w:rPr>
        <w:t xml:space="preserve"> an</w:t>
      </w:r>
      <w:r w:rsidRPr="001F599F">
        <w:rPr>
          <w:rStyle w:val="normaltextrun"/>
          <w:rFonts w:ascii="Century Schoolbook" w:hAnsi="Century Schoolbook" w:cs="Calibri"/>
        </w:rPr>
        <w:t xml:space="preserve"> accident on the employer’s premises during a lunch break occurs in the “course of employment.” </w:t>
      </w:r>
      <w:r w:rsidR="00544F2B" w:rsidRPr="001F599F">
        <w:rPr>
          <w:rStyle w:val="normaltextrun"/>
          <w:rFonts w:ascii="Century Schoolbook" w:hAnsi="Century Schoolbook" w:cs="Calibri"/>
        </w:rPr>
        <w:t xml:space="preserve">The Supreme rejected the “scheduled </w:t>
      </w:r>
      <w:r w:rsidR="00544F2B" w:rsidRPr="001F599F">
        <w:rPr>
          <w:rStyle w:val="normaltextrun"/>
          <w:rFonts w:ascii="Century Schoolbook" w:hAnsi="Century Schoolbook" w:cs="Calibri"/>
        </w:rPr>
        <w:lastRenderedPageBreak/>
        <w:t xml:space="preserve">break” defense </w:t>
      </w:r>
      <w:r w:rsidR="00544F2B">
        <w:rPr>
          <w:rStyle w:val="normaltextrun"/>
          <w:rFonts w:ascii="Century Schoolbook" w:hAnsi="Century Schoolbook" w:cs="Calibri"/>
        </w:rPr>
        <w:t xml:space="preserve">was poorly reasoned and contrary to O.C.G.A </w:t>
      </w:r>
      <w:r w:rsidR="00544F2B" w:rsidRPr="00C2530A">
        <w:rPr>
          <w:rStyle w:val="normaltextrun"/>
          <w:rFonts w:ascii="Century Schoolbook" w:hAnsi="Century Schoolbook" w:cs="Calibri"/>
        </w:rPr>
        <w:t>§</w:t>
      </w:r>
      <w:r w:rsidR="00544F2B">
        <w:rPr>
          <w:rStyle w:val="normaltextrun"/>
          <w:rFonts w:ascii="Century Schoolbook" w:hAnsi="Century Schoolbook" w:cs="Calibri"/>
        </w:rPr>
        <w:t xml:space="preserve"> 34-9-1. </w:t>
      </w:r>
      <w:r w:rsidRPr="001F599F">
        <w:rPr>
          <w:rStyle w:val="normaltextrun"/>
          <w:rFonts w:ascii="Century Schoolbook" w:hAnsi="Century Schoolbook" w:cs="Calibri"/>
        </w:rPr>
        <w:t xml:space="preserve">In short, a </w:t>
      </w:r>
      <w:r w:rsidR="00544F2B">
        <w:rPr>
          <w:rStyle w:val="normaltextrun"/>
          <w:rFonts w:ascii="Century Schoolbook" w:hAnsi="Century Schoolbook" w:cs="Calibri"/>
        </w:rPr>
        <w:t>“</w:t>
      </w:r>
      <w:r w:rsidRPr="001F599F">
        <w:rPr>
          <w:rStyle w:val="normaltextrun"/>
          <w:rFonts w:ascii="Century Schoolbook" w:hAnsi="Century Schoolbook" w:cs="Calibri"/>
        </w:rPr>
        <w:t>scheduled break</w:t>
      </w:r>
      <w:r w:rsidR="00544F2B">
        <w:rPr>
          <w:rStyle w:val="normaltextrun"/>
          <w:rFonts w:ascii="Century Schoolbook" w:hAnsi="Century Schoolbook" w:cs="Calibri"/>
        </w:rPr>
        <w:t>”</w:t>
      </w:r>
      <w:r w:rsidRPr="001F599F">
        <w:rPr>
          <w:rStyle w:val="normaltextrun"/>
          <w:rFonts w:ascii="Century Schoolbook" w:hAnsi="Century Schoolbook" w:cs="Calibri"/>
        </w:rPr>
        <w:t xml:space="preserve"> is not sufficient to suspend the </w:t>
      </w:r>
      <w:r w:rsidRPr="001F599F">
        <w:rPr>
          <w:rStyle w:val="normaltextrun"/>
          <w:rFonts w:ascii="Century Schoolbook" w:hAnsi="Century Schoolbook" w:cs="Calibri"/>
          <w:i/>
          <w:iCs/>
        </w:rPr>
        <w:t>course of employment</w:t>
      </w:r>
      <w:r w:rsidRPr="001F599F">
        <w:rPr>
          <w:rStyle w:val="normaltextrun"/>
          <w:rFonts w:ascii="Century Schoolbook" w:hAnsi="Century Schoolbook" w:cs="Calibri"/>
        </w:rPr>
        <w:t>. An employee is still </w:t>
      </w:r>
      <w:r w:rsidRPr="001F599F">
        <w:rPr>
          <w:rStyle w:val="normaltextrun"/>
          <w:rFonts w:ascii="Century Schoolbook" w:hAnsi="Century Schoolbook" w:cs="Calibri"/>
          <w:i/>
          <w:iCs/>
        </w:rPr>
        <w:t>in the course of employment </w:t>
      </w:r>
      <w:r w:rsidRPr="001F599F">
        <w:rPr>
          <w:rStyle w:val="normaltextrun"/>
          <w:rFonts w:ascii="Century Schoolbook" w:hAnsi="Century Schoolbook" w:cs="Calibri"/>
        </w:rPr>
        <w:t>while attending to personal matters which are incidental to employment (</w:t>
      </w:r>
      <w:r w:rsidR="008171F5" w:rsidRPr="001F599F">
        <w:rPr>
          <w:rStyle w:val="normaltextrun"/>
          <w:rFonts w:ascii="Century Schoolbook" w:hAnsi="Century Schoolbook" w:cs="Calibri"/>
        </w:rPr>
        <w:t>i.e.,</w:t>
      </w:r>
      <w:r w:rsidRPr="001F599F">
        <w:rPr>
          <w:rStyle w:val="normaltextrun"/>
          <w:rFonts w:ascii="Century Schoolbook" w:hAnsi="Century Schoolbook" w:cs="Calibri"/>
        </w:rPr>
        <w:t> eating lunch, using the restroom, etc.)</w:t>
      </w:r>
      <w:r>
        <w:rPr>
          <w:rStyle w:val="normaltextrun"/>
          <w:rFonts w:ascii="Century Schoolbook" w:hAnsi="Century Schoolbook" w:cs="Calibri"/>
        </w:rPr>
        <w:t xml:space="preserve"> When an employee slips on a wet floor at work,</w:t>
      </w:r>
      <w:r w:rsidRPr="00BB238A">
        <w:rPr>
          <w:rStyle w:val="eop"/>
          <w:rFonts w:ascii="Century Schoolbook" w:hAnsi="Century Schoolbook" w:cs="Calibri"/>
        </w:rPr>
        <w:t xml:space="preserve"> </w:t>
      </w:r>
      <w:r>
        <w:rPr>
          <w:rStyle w:val="eop"/>
          <w:rFonts w:ascii="Century Schoolbook" w:hAnsi="Century Schoolbook" w:cs="Calibri"/>
        </w:rPr>
        <w:t>i</w:t>
      </w:r>
      <w:r w:rsidRPr="00BB238A">
        <w:rPr>
          <w:rStyle w:val="eop"/>
          <w:rFonts w:ascii="Century Schoolbook" w:hAnsi="Century Schoolbook" w:cs="Calibri"/>
        </w:rPr>
        <w:t xml:space="preserve">t logically follows that her injury was causally connected to the conditions under which she worked, and her injury, therefore, 'arose out of' her employment." </w:t>
      </w:r>
      <w:r w:rsidRPr="007E71F3">
        <w:rPr>
          <w:rStyle w:val="eop"/>
          <w:rFonts w:ascii="Century Schoolbook" w:hAnsi="Century Schoolbook" w:cs="Calibri"/>
          <w:i/>
          <w:iCs/>
        </w:rPr>
        <w:t>Frett v. State Farm Emp. Workers' Comp</w:t>
      </w:r>
      <w:r w:rsidRPr="00BB238A">
        <w:rPr>
          <w:rStyle w:val="eop"/>
          <w:rFonts w:ascii="Century Schoolbook" w:hAnsi="Century Schoolbook" w:cs="Calibri"/>
        </w:rPr>
        <w:t>., 309 Ga. 44, (Ga. 2020)</w:t>
      </w:r>
      <w:r>
        <w:rPr>
          <w:rStyle w:val="eop"/>
          <w:rFonts w:ascii="Century Schoolbook" w:hAnsi="Century Schoolbook" w:cs="Calibri"/>
        </w:rPr>
        <w:t xml:space="preserve"> </w:t>
      </w:r>
      <w:r>
        <w:rPr>
          <w:rFonts w:ascii="Century Schoolbook" w:hAnsi="Century Schoolbook" w:cs="Segoe UI"/>
        </w:rPr>
        <w:t xml:space="preserve">Moreover, the Court explicitly applies the </w:t>
      </w:r>
      <w:r w:rsidR="007E71F3">
        <w:rPr>
          <w:rFonts w:ascii="Century Schoolbook" w:hAnsi="Century Schoolbook" w:cs="Segoe UI"/>
        </w:rPr>
        <w:t>“</w:t>
      </w:r>
      <w:r>
        <w:rPr>
          <w:rFonts w:ascii="Century Schoolbook" w:hAnsi="Century Schoolbook" w:cs="Segoe UI"/>
        </w:rPr>
        <w:t>personal comfort doctrine</w:t>
      </w:r>
      <w:r w:rsidR="007E71F3">
        <w:rPr>
          <w:rFonts w:ascii="Century Schoolbook" w:hAnsi="Century Schoolbook" w:cs="Segoe UI"/>
        </w:rPr>
        <w:t>”</w:t>
      </w:r>
      <w:r>
        <w:rPr>
          <w:rFonts w:ascii="Century Schoolbook" w:hAnsi="Century Schoolbook" w:cs="Segoe UI"/>
        </w:rPr>
        <w:t xml:space="preserve"> to on</w:t>
      </w:r>
      <w:r w:rsidR="007E71F3">
        <w:rPr>
          <w:rFonts w:ascii="Century Schoolbook" w:hAnsi="Century Schoolbook" w:cs="Segoe UI"/>
        </w:rPr>
        <w:t>-</w:t>
      </w:r>
      <w:r>
        <w:rPr>
          <w:rFonts w:ascii="Century Schoolbook" w:hAnsi="Century Schoolbook" w:cs="Segoe UI"/>
        </w:rPr>
        <w:t xml:space="preserve">premises </w:t>
      </w:r>
      <w:r w:rsidR="004B4E6A">
        <w:rPr>
          <w:rFonts w:ascii="Century Schoolbook" w:hAnsi="Century Schoolbook" w:cs="Segoe UI"/>
        </w:rPr>
        <w:t>lunchbreak injuries</w:t>
      </w:r>
      <w:r w:rsidR="007E71F3">
        <w:rPr>
          <w:rFonts w:ascii="Century Schoolbook" w:hAnsi="Century Schoolbook" w:cs="Segoe UI"/>
        </w:rPr>
        <w:t xml:space="preserve"> for the first time</w:t>
      </w:r>
      <w:r w:rsidR="004B4E6A">
        <w:rPr>
          <w:rFonts w:ascii="Century Schoolbook" w:hAnsi="Century Schoolbook" w:cs="Segoe UI"/>
        </w:rPr>
        <w:t>.</w:t>
      </w:r>
    </w:p>
    <w:p w14:paraId="6CE92ADB" w14:textId="77777777" w:rsidR="00D254BE" w:rsidRPr="00941394" w:rsidRDefault="00D254BE" w:rsidP="004D03F5">
      <w:pPr>
        <w:pStyle w:val="paragraph"/>
        <w:spacing w:before="0" w:beforeAutospacing="0" w:after="0" w:afterAutospacing="0" w:line="480" w:lineRule="auto"/>
        <w:textAlignment w:val="baseline"/>
        <w:rPr>
          <w:rFonts w:ascii="Century Schoolbook" w:hAnsi="Century Schoolbook"/>
          <w:shd w:val="clear" w:color="auto" w:fill="FFFFFF"/>
        </w:rPr>
      </w:pPr>
    </w:p>
    <w:p w14:paraId="6FE861C7" w14:textId="471F0A4C" w:rsidR="00F03729" w:rsidRPr="00101965" w:rsidRDefault="00101965" w:rsidP="002925FE">
      <w:pPr>
        <w:pStyle w:val="paragraph"/>
        <w:spacing w:before="0" w:beforeAutospacing="0" w:after="0" w:afterAutospacing="0" w:line="480" w:lineRule="auto"/>
        <w:jc w:val="center"/>
        <w:textAlignment w:val="baseline"/>
        <w:rPr>
          <w:rStyle w:val="normaltextrun"/>
          <w:rFonts w:ascii="Century Schoolbook" w:hAnsi="Century Schoolbook" w:cs="Calibri"/>
          <w:spacing w:val="20"/>
        </w:rPr>
      </w:pPr>
      <w:r w:rsidRPr="00101965">
        <w:rPr>
          <w:rStyle w:val="normaltextrun"/>
          <w:rFonts w:ascii="Century Schoolbook" w:hAnsi="Century Schoolbook" w:cs="Calibri"/>
          <w:spacing w:val="20"/>
        </w:rPr>
        <w:t>WHY DID THE SUPREME COURT OVERRULE FARR AND REJECT THE “SCHEDULED BREAK” DEFENSE?</w:t>
      </w:r>
    </w:p>
    <w:p w14:paraId="1757BB29" w14:textId="77777777" w:rsidR="00F61FCE" w:rsidRPr="002925FE" w:rsidRDefault="00F61FCE" w:rsidP="002925FE">
      <w:pPr>
        <w:pStyle w:val="paragraph"/>
        <w:spacing w:before="0" w:beforeAutospacing="0" w:after="0" w:afterAutospacing="0" w:line="480" w:lineRule="auto"/>
        <w:jc w:val="center"/>
        <w:textAlignment w:val="baseline"/>
        <w:rPr>
          <w:rStyle w:val="normaltextrun"/>
          <w:rFonts w:ascii="Century Schoolbook" w:hAnsi="Century Schoolbook" w:cs="Calibri"/>
          <w:b/>
          <w:bCs/>
        </w:rPr>
      </w:pPr>
    </w:p>
    <w:p w14:paraId="4D49E475" w14:textId="67C433B6" w:rsidR="00CF563B" w:rsidRDefault="00CB5674" w:rsidP="00A0743C">
      <w:pPr>
        <w:pStyle w:val="paragraph"/>
        <w:spacing w:before="0" w:beforeAutospacing="0" w:after="0" w:afterAutospacing="0" w:line="480" w:lineRule="auto"/>
        <w:ind w:firstLine="720"/>
        <w:textAlignment w:val="baseline"/>
        <w:rPr>
          <w:rStyle w:val="normaltextrun"/>
          <w:rFonts w:ascii="Century Schoolbook" w:hAnsi="Century Schoolbook" w:cs="Calibri"/>
        </w:rPr>
      </w:pPr>
      <w:r w:rsidRPr="00CB5674">
        <w:rPr>
          <w:rStyle w:val="normaltextrun"/>
          <w:rFonts w:ascii="Century Schoolbook" w:hAnsi="Century Schoolbook" w:cs="Calibri"/>
        </w:rPr>
        <w:t>The</w:t>
      </w:r>
      <w:r w:rsidR="00513652" w:rsidRPr="00513652">
        <w:rPr>
          <w:rStyle w:val="normaltextrun"/>
          <w:rFonts w:ascii="Century Schoolbook" w:hAnsi="Century Schoolbook" w:cs="Calibri"/>
        </w:rPr>
        <w:t xml:space="preserve"> court looked </w:t>
      </w:r>
      <w:r w:rsidR="00C82C16" w:rsidRPr="00C82C16">
        <w:rPr>
          <w:rStyle w:val="normaltextrun"/>
          <w:rFonts w:ascii="Century Schoolbook" w:hAnsi="Century Schoolbook" w:cs="Calibri"/>
        </w:rPr>
        <w:t xml:space="preserve">at this as an issue </w:t>
      </w:r>
      <w:r w:rsidRPr="00CB5674">
        <w:rPr>
          <w:rStyle w:val="normaltextrun"/>
          <w:rFonts w:ascii="Century Schoolbook" w:hAnsi="Century Schoolbook" w:cs="Calibri"/>
        </w:rPr>
        <w:t>of statutory interpretation</w:t>
      </w:r>
      <w:r w:rsidR="001A1064">
        <w:rPr>
          <w:rStyle w:val="normaltextrun"/>
          <w:rFonts w:ascii="Century Schoolbook" w:hAnsi="Century Schoolbook" w:cs="Calibri"/>
        </w:rPr>
        <w:t xml:space="preserve"> </w:t>
      </w:r>
      <w:r w:rsidR="00F24CB9">
        <w:rPr>
          <w:rStyle w:val="normaltextrun"/>
          <w:rFonts w:ascii="Century Schoolbook" w:hAnsi="Century Schoolbook" w:cs="Calibri"/>
        </w:rPr>
        <w:t xml:space="preserve">(O.C.G.A </w:t>
      </w:r>
      <w:r w:rsidR="00F24CB9" w:rsidRPr="00C2530A">
        <w:rPr>
          <w:rStyle w:val="normaltextrun"/>
          <w:rFonts w:ascii="Century Schoolbook" w:hAnsi="Century Schoolbook" w:cs="Calibri"/>
        </w:rPr>
        <w:t>§</w:t>
      </w:r>
      <w:r w:rsidR="00F24CB9">
        <w:rPr>
          <w:rStyle w:val="normaltextrun"/>
          <w:rFonts w:ascii="Century Schoolbook" w:hAnsi="Century Schoolbook" w:cs="Calibri"/>
        </w:rPr>
        <w:t xml:space="preserve"> 34-9-1)</w:t>
      </w:r>
      <w:r w:rsidR="00141505" w:rsidRPr="00141505">
        <w:rPr>
          <w:rStyle w:val="normaltextrun"/>
          <w:rFonts w:ascii="Century Schoolbook" w:hAnsi="Century Schoolbook" w:cs="Calibri"/>
        </w:rPr>
        <w:t>.</w:t>
      </w:r>
      <w:r w:rsidRPr="00CB5674">
        <w:rPr>
          <w:rStyle w:val="normaltextrun"/>
          <w:rFonts w:ascii="Century Schoolbook" w:hAnsi="Century Schoolbook" w:cs="Calibri"/>
        </w:rPr>
        <w:t xml:space="preserve"> </w:t>
      </w:r>
      <w:r w:rsidR="00F24CB9">
        <w:rPr>
          <w:rStyle w:val="normaltextrun"/>
          <w:rFonts w:ascii="Century Schoolbook" w:hAnsi="Century Schoolbook" w:cs="Calibri"/>
        </w:rPr>
        <w:t>In a nutshell</w:t>
      </w:r>
      <w:r w:rsidR="0082381F" w:rsidRPr="0082381F">
        <w:rPr>
          <w:rStyle w:val="normaltextrun"/>
          <w:rFonts w:ascii="Century Schoolbook" w:hAnsi="Century Schoolbook" w:cs="Calibri"/>
        </w:rPr>
        <w:t xml:space="preserve">, </w:t>
      </w:r>
      <w:r w:rsidR="002F137B">
        <w:rPr>
          <w:rStyle w:val="normaltextrun"/>
          <w:rFonts w:ascii="Century Schoolbook" w:hAnsi="Century Schoolbook" w:cs="Calibri"/>
        </w:rPr>
        <w:t>scheduled break defense cases</w:t>
      </w:r>
      <w:r w:rsidR="00337265" w:rsidRPr="00337265">
        <w:rPr>
          <w:rStyle w:val="normaltextrun"/>
          <w:rFonts w:ascii="Century Schoolbook" w:hAnsi="Century Schoolbook" w:cs="Calibri"/>
        </w:rPr>
        <w:t xml:space="preserve"> mixed up the </w:t>
      </w:r>
      <w:r w:rsidR="00B848B7" w:rsidRPr="00337265">
        <w:rPr>
          <w:rStyle w:val="normaltextrun"/>
          <w:rFonts w:ascii="Century Schoolbook" w:hAnsi="Century Schoolbook" w:cs="Calibri"/>
        </w:rPr>
        <w:t>two-prong</w:t>
      </w:r>
      <w:r w:rsidR="00337265" w:rsidRPr="00337265">
        <w:rPr>
          <w:rStyle w:val="normaltextrun"/>
          <w:rFonts w:ascii="Century Schoolbook" w:hAnsi="Century Schoolbook" w:cs="Calibri"/>
        </w:rPr>
        <w:t xml:space="preserve"> </w:t>
      </w:r>
      <w:r w:rsidR="00F00806" w:rsidRPr="00F00806">
        <w:rPr>
          <w:rStyle w:val="normaltextrun"/>
          <w:rFonts w:ascii="Century Schoolbook" w:hAnsi="Century Schoolbook" w:cs="Calibri"/>
        </w:rPr>
        <w:t xml:space="preserve">task for </w:t>
      </w:r>
      <w:r w:rsidR="003372BE">
        <w:rPr>
          <w:rStyle w:val="normaltextrun"/>
          <w:rFonts w:ascii="Century Schoolbook" w:hAnsi="Century Schoolbook" w:cs="Calibri"/>
        </w:rPr>
        <w:t>“</w:t>
      </w:r>
      <w:r w:rsidR="00F00806" w:rsidRPr="00F00806">
        <w:rPr>
          <w:rStyle w:val="normaltextrun"/>
          <w:rFonts w:ascii="Century Schoolbook" w:hAnsi="Century Schoolbook" w:cs="Calibri"/>
        </w:rPr>
        <w:t>arising out of</w:t>
      </w:r>
      <w:r w:rsidR="003372BE">
        <w:rPr>
          <w:rStyle w:val="normaltextrun"/>
          <w:rFonts w:ascii="Century Schoolbook" w:hAnsi="Century Schoolbook" w:cs="Calibri"/>
        </w:rPr>
        <w:t>”</w:t>
      </w:r>
      <w:r w:rsidR="00F00806" w:rsidRPr="00F00806">
        <w:rPr>
          <w:rStyle w:val="normaltextrun"/>
          <w:rFonts w:ascii="Century Schoolbook" w:hAnsi="Century Schoolbook" w:cs="Calibri"/>
        </w:rPr>
        <w:t xml:space="preserve"> and </w:t>
      </w:r>
      <w:r w:rsidR="003372BE">
        <w:rPr>
          <w:rStyle w:val="normaltextrun"/>
          <w:rFonts w:ascii="Century Schoolbook" w:hAnsi="Century Schoolbook" w:cs="Calibri"/>
        </w:rPr>
        <w:t>“</w:t>
      </w:r>
      <w:r w:rsidR="00F00806" w:rsidRPr="00F00806">
        <w:rPr>
          <w:rStyle w:val="normaltextrun"/>
          <w:rFonts w:ascii="Century Schoolbook" w:hAnsi="Century Schoolbook" w:cs="Calibri"/>
        </w:rPr>
        <w:t>in the course of</w:t>
      </w:r>
      <w:r w:rsidR="003372BE">
        <w:rPr>
          <w:rStyle w:val="normaltextrun"/>
          <w:rFonts w:ascii="Century Schoolbook" w:hAnsi="Century Schoolbook" w:cs="Calibri"/>
        </w:rPr>
        <w:t>”</w:t>
      </w:r>
      <w:r w:rsidR="00F00806" w:rsidRPr="00F00806">
        <w:rPr>
          <w:rStyle w:val="normaltextrun"/>
          <w:rFonts w:ascii="Century Schoolbook" w:hAnsi="Century Schoolbook" w:cs="Calibri"/>
        </w:rPr>
        <w:t xml:space="preserve"> employment</w:t>
      </w:r>
      <w:r w:rsidR="00E57130" w:rsidRPr="00E57130">
        <w:rPr>
          <w:rStyle w:val="normaltextrun"/>
          <w:rFonts w:ascii="Century Schoolbook" w:hAnsi="Century Schoolbook" w:cs="Calibri"/>
        </w:rPr>
        <w:t>.</w:t>
      </w:r>
      <w:r w:rsidR="00F00806" w:rsidRPr="00F00806">
        <w:rPr>
          <w:rStyle w:val="normaltextrun"/>
          <w:rFonts w:ascii="Century Schoolbook" w:hAnsi="Century Schoolbook" w:cs="Calibri"/>
        </w:rPr>
        <w:t xml:space="preserve"> </w:t>
      </w:r>
      <w:r w:rsidR="00F04995" w:rsidRPr="00F04995">
        <w:rPr>
          <w:rStyle w:val="normaltextrun"/>
          <w:rFonts w:ascii="Century Schoolbook" w:hAnsi="Century Schoolbook" w:cs="Calibri"/>
        </w:rPr>
        <w:t xml:space="preserve">Employer </w:t>
      </w:r>
      <w:r w:rsidR="003A14F2">
        <w:rPr>
          <w:rStyle w:val="normaltextrun"/>
          <w:rFonts w:ascii="Century Schoolbook" w:hAnsi="Century Schoolbook" w:cs="Calibri"/>
        </w:rPr>
        <w:t>“</w:t>
      </w:r>
      <w:r w:rsidR="00F04995" w:rsidRPr="00F04995">
        <w:rPr>
          <w:rStyle w:val="normaltextrun"/>
          <w:rFonts w:ascii="Century Schoolbook" w:hAnsi="Century Schoolbook" w:cs="Calibri"/>
        </w:rPr>
        <w:t>control</w:t>
      </w:r>
      <w:r w:rsidR="003A14F2">
        <w:rPr>
          <w:rStyle w:val="normaltextrun"/>
          <w:rFonts w:ascii="Century Schoolbook" w:hAnsi="Century Schoolbook" w:cs="Calibri"/>
        </w:rPr>
        <w:t>”</w:t>
      </w:r>
      <w:r w:rsidR="00F04995" w:rsidRPr="00F04995">
        <w:rPr>
          <w:rStyle w:val="normaltextrun"/>
          <w:rFonts w:ascii="Century Schoolbook" w:hAnsi="Century Schoolbook" w:cs="Calibri"/>
        </w:rPr>
        <w:t xml:space="preserve"> </w:t>
      </w:r>
      <w:r w:rsidR="00942942">
        <w:rPr>
          <w:rStyle w:val="normaltextrun"/>
          <w:rFonts w:ascii="Century Schoolbook" w:hAnsi="Century Schoolbook" w:cs="Calibri"/>
        </w:rPr>
        <w:t xml:space="preserve">of the </w:t>
      </w:r>
      <w:r w:rsidR="00B848B7">
        <w:rPr>
          <w:rStyle w:val="normaltextrun"/>
          <w:rFonts w:ascii="Century Schoolbook" w:hAnsi="Century Schoolbook" w:cs="Calibri"/>
        </w:rPr>
        <w:t>employees’</w:t>
      </w:r>
      <w:r w:rsidR="00942942">
        <w:rPr>
          <w:rStyle w:val="normaltextrun"/>
          <w:rFonts w:ascii="Century Schoolbook" w:hAnsi="Century Schoolbook" w:cs="Calibri"/>
        </w:rPr>
        <w:t xml:space="preserve"> action</w:t>
      </w:r>
      <w:r w:rsidR="00F04995" w:rsidRPr="00F04995">
        <w:rPr>
          <w:rStyle w:val="normaltextrun"/>
          <w:rFonts w:ascii="Century Schoolbook" w:hAnsi="Century Schoolbook" w:cs="Calibri"/>
        </w:rPr>
        <w:t xml:space="preserve"> is a factor </w:t>
      </w:r>
      <w:r w:rsidR="007A0CB9" w:rsidRPr="007A0CB9">
        <w:rPr>
          <w:rStyle w:val="normaltextrun"/>
          <w:rFonts w:ascii="Century Schoolbook" w:hAnsi="Century Schoolbook" w:cs="Calibri"/>
        </w:rPr>
        <w:t xml:space="preserve">that should </w:t>
      </w:r>
      <w:r w:rsidR="00B848B7">
        <w:rPr>
          <w:rStyle w:val="normaltextrun"/>
          <w:rFonts w:ascii="Century Schoolbook" w:hAnsi="Century Schoolbook" w:cs="Calibri"/>
        </w:rPr>
        <w:t>b</w:t>
      </w:r>
      <w:r w:rsidR="002B3557" w:rsidRPr="002B3557">
        <w:rPr>
          <w:rStyle w:val="normaltextrun"/>
          <w:rFonts w:ascii="Century Schoolbook" w:hAnsi="Century Schoolbook" w:cs="Calibri"/>
        </w:rPr>
        <w:t xml:space="preserve">e more relevant to the </w:t>
      </w:r>
      <w:r w:rsidR="001636F4">
        <w:rPr>
          <w:rStyle w:val="normaltextrun"/>
          <w:rFonts w:ascii="Century Schoolbook" w:hAnsi="Century Schoolbook" w:cs="Calibri"/>
        </w:rPr>
        <w:t>“</w:t>
      </w:r>
      <w:r w:rsidR="002B3557" w:rsidRPr="002B3557">
        <w:rPr>
          <w:rStyle w:val="normaltextrun"/>
          <w:rFonts w:ascii="Century Schoolbook" w:hAnsi="Century Schoolbook" w:cs="Calibri"/>
        </w:rPr>
        <w:t>course of employment</w:t>
      </w:r>
      <w:r w:rsidR="001636F4">
        <w:rPr>
          <w:rStyle w:val="normaltextrun"/>
          <w:rFonts w:ascii="Century Schoolbook" w:hAnsi="Century Schoolbook" w:cs="Calibri"/>
        </w:rPr>
        <w:t>”</w:t>
      </w:r>
      <w:r w:rsidR="002B3557" w:rsidRPr="002B3557">
        <w:rPr>
          <w:rStyle w:val="normaltextrun"/>
          <w:rFonts w:ascii="Century Schoolbook" w:hAnsi="Century Schoolbook" w:cs="Calibri"/>
        </w:rPr>
        <w:t xml:space="preserve"> question</w:t>
      </w:r>
      <w:r w:rsidR="008E68B6">
        <w:rPr>
          <w:rStyle w:val="normaltextrun"/>
          <w:rFonts w:ascii="Century Schoolbook" w:hAnsi="Century Schoolbook" w:cs="Calibri"/>
        </w:rPr>
        <w:t>.</w:t>
      </w:r>
      <w:r w:rsidR="00885117">
        <w:rPr>
          <w:rStyle w:val="FootnoteReference"/>
          <w:rFonts w:ascii="Century Schoolbook" w:hAnsi="Century Schoolbook" w:cs="Calibri"/>
        </w:rPr>
        <w:footnoteReference w:id="15"/>
      </w:r>
      <w:r w:rsidR="00A0743C">
        <w:rPr>
          <w:rStyle w:val="normaltextrun"/>
          <w:rFonts w:ascii="Century Schoolbook" w:hAnsi="Century Schoolbook" w:cs="Calibri"/>
        </w:rPr>
        <w:t xml:space="preserve"> </w:t>
      </w:r>
      <w:r w:rsidR="00CF563B">
        <w:rPr>
          <w:rStyle w:val="normaltextrun"/>
          <w:rFonts w:ascii="Century Schoolbook" w:hAnsi="Century Schoolbook" w:cs="Calibri"/>
        </w:rPr>
        <w:t xml:space="preserve">The Court held that when analyzing the “arising out of” prong of the compensability formula, the focus should be on the issue of </w:t>
      </w:r>
      <w:r w:rsidR="00CF563B" w:rsidRPr="006C25A6">
        <w:rPr>
          <w:rStyle w:val="normaltextrun"/>
          <w:rFonts w:ascii="Century Schoolbook" w:hAnsi="Century Schoolbook" w:cs="Calibri"/>
          <w:b/>
          <w:bCs/>
        </w:rPr>
        <w:t>causation</w:t>
      </w:r>
      <w:r w:rsidR="00CF563B">
        <w:rPr>
          <w:rStyle w:val="normaltextrun"/>
          <w:rFonts w:ascii="Century Schoolbook" w:hAnsi="Century Schoolbook" w:cs="Calibri"/>
        </w:rPr>
        <w:t xml:space="preserve">. </w:t>
      </w:r>
      <w:r w:rsidR="00CF563B">
        <w:rPr>
          <w:rStyle w:val="eop"/>
          <w:rFonts w:ascii="Century Schoolbook" w:hAnsi="Century Schoolbook" w:cs="Calibri"/>
        </w:rPr>
        <w:t xml:space="preserve">To quote the supreme Court, </w:t>
      </w:r>
      <w:r w:rsidR="00CF563B" w:rsidRPr="00F03729">
        <w:rPr>
          <w:rStyle w:val="eop"/>
          <w:rFonts w:ascii="Century Schoolbook" w:hAnsi="Century Schoolbook" w:cs="Calibri"/>
        </w:rPr>
        <w:t>"</w:t>
      </w:r>
      <w:r w:rsidR="00CF563B">
        <w:rPr>
          <w:rStyle w:val="eop"/>
          <w:rFonts w:ascii="Century Schoolbook" w:hAnsi="Century Schoolbook" w:cs="Calibri"/>
        </w:rPr>
        <w:t xml:space="preserve">[…] </w:t>
      </w:r>
      <w:r w:rsidR="00CF563B" w:rsidRPr="00F03729">
        <w:rPr>
          <w:rStyle w:val="eop"/>
          <w:rFonts w:ascii="Century Schoolbook" w:hAnsi="Century Schoolbook" w:cs="Calibri"/>
        </w:rPr>
        <w:t xml:space="preserve">Farr said nothing at all about causation when it </w:t>
      </w:r>
      <w:r w:rsidR="00CF563B" w:rsidRPr="00F03729">
        <w:rPr>
          <w:rStyle w:val="eop"/>
          <w:rFonts w:ascii="Century Schoolbook" w:hAnsi="Century Schoolbook" w:cs="Calibri"/>
        </w:rPr>
        <w:lastRenderedPageBreak/>
        <w:t>analyzed the 'arising out of' prong, focusing instead on the fact that the worker had 'knocked off' from work and was free to do as he pleased."</w:t>
      </w:r>
      <w:r w:rsidR="003A14F2">
        <w:rPr>
          <w:rStyle w:val="FootnoteReference"/>
          <w:rFonts w:ascii="Century Schoolbook" w:hAnsi="Century Schoolbook" w:cs="Calibri"/>
        </w:rPr>
        <w:footnoteReference w:id="16"/>
      </w:r>
      <w:r w:rsidR="00CF563B" w:rsidRPr="00F03729">
        <w:rPr>
          <w:rStyle w:val="eop"/>
          <w:rFonts w:ascii="Century Schoolbook" w:hAnsi="Century Schoolbook" w:cs="Calibri"/>
        </w:rPr>
        <w:t xml:space="preserve"> </w:t>
      </w:r>
      <w:r w:rsidR="00CF563B">
        <w:rPr>
          <w:rStyle w:val="eop"/>
          <w:rFonts w:ascii="Century Schoolbook" w:hAnsi="Century Schoolbook" w:cs="Calibri"/>
        </w:rPr>
        <w:t>The problem with the “scheduled lunch-break” defense was that it ignored the seminal</w:t>
      </w:r>
      <w:r w:rsidR="00475721">
        <w:rPr>
          <w:rStyle w:val="eop"/>
          <w:rFonts w:ascii="Century Schoolbook" w:hAnsi="Century Schoolbook" w:cs="Calibri"/>
        </w:rPr>
        <w:t xml:space="preserve"> “arising out of”</w:t>
      </w:r>
      <w:r w:rsidR="00CF563B">
        <w:rPr>
          <w:rStyle w:val="eop"/>
          <w:rFonts w:ascii="Century Schoolbook" w:hAnsi="Century Schoolbook" w:cs="Calibri"/>
        </w:rPr>
        <w:t xml:space="preserve"> question: whether there was a</w:t>
      </w:r>
      <w:r w:rsidR="00CF563B" w:rsidRPr="009A5793">
        <w:rPr>
          <w:rStyle w:val="eop"/>
          <w:rFonts w:ascii="Century Schoolbook" w:hAnsi="Century Schoolbook" w:cs="Calibri"/>
        </w:rPr>
        <w:t xml:space="preserve"> causal connection between the </w:t>
      </w:r>
      <w:r w:rsidR="00CF563B" w:rsidRPr="009A5793">
        <w:rPr>
          <w:rStyle w:val="eop"/>
          <w:rFonts w:ascii="Century Schoolbook" w:hAnsi="Century Schoolbook" w:cs="Calibri"/>
          <w:i/>
          <w:iCs/>
        </w:rPr>
        <w:t>conditions of the work</w:t>
      </w:r>
      <w:r w:rsidR="00CF563B" w:rsidRPr="009A5793">
        <w:rPr>
          <w:rStyle w:val="eop"/>
          <w:rFonts w:ascii="Century Schoolbook" w:hAnsi="Century Schoolbook" w:cs="Calibri"/>
        </w:rPr>
        <w:t xml:space="preserve"> and </w:t>
      </w:r>
      <w:r w:rsidR="00CF563B" w:rsidRPr="009A5793">
        <w:rPr>
          <w:rStyle w:val="eop"/>
          <w:rFonts w:ascii="Century Schoolbook" w:hAnsi="Century Schoolbook" w:cs="Calibri"/>
          <w:i/>
          <w:iCs/>
        </w:rPr>
        <w:t>the resulting injury</w:t>
      </w:r>
      <w:r w:rsidR="00CF563B">
        <w:rPr>
          <w:rStyle w:val="eop"/>
          <w:rFonts w:ascii="Century Schoolbook" w:hAnsi="Century Schoolbook" w:cs="Calibri"/>
          <w:i/>
          <w:iCs/>
        </w:rPr>
        <w:t>.</w:t>
      </w:r>
      <w:r w:rsidR="00CF563B" w:rsidRPr="009A5793">
        <w:rPr>
          <w:rStyle w:val="eop"/>
          <w:rFonts w:ascii="Century Schoolbook" w:hAnsi="Century Schoolbook" w:cs="Calibri"/>
        </w:rPr>
        <w:t xml:space="preserve"> </w:t>
      </w:r>
    </w:p>
    <w:p w14:paraId="6858BC19" w14:textId="4161AD4A" w:rsidR="000C7EBD" w:rsidRDefault="00E85E51" w:rsidP="000C7EBD">
      <w:pPr>
        <w:pStyle w:val="paragraph"/>
        <w:spacing w:before="0" w:beforeAutospacing="0" w:after="0" w:afterAutospacing="0" w:line="480" w:lineRule="auto"/>
        <w:ind w:firstLine="720"/>
        <w:textAlignment w:val="baseline"/>
        <w:rPr>
          <w:rStyle w:val="normaltextrun"/>
          <w:rFonts w:ascii="Century Schoolbook" w:hAnsi="Century Schoolbook" w:cs="Calibri"/>
        </w:rPr>
      </w:pPr>
      <w:r>
        <w:rPr>
          <w:rStyle w:val="normaltextrun"/>
          <w:rFonts w:ascii="Century Schoolbook" w:hAnsi="Century Schoolbook" w:cs="Calibri"/>
        </w:rPr>
        <w:t xml:space="preserve">Although the </w:t>
      </w:r>
      <w:r w:rsidR="00E958DC">
        <w:rPr>
          <w:rStyle w:val="normaltextrun"/>
          <w:rFonts w:ascii="Century Schoolbook" w:hAnsi="Century Schoolbook" w:cs="Calibri"/>
        </w:rPr>
        <w:t xml:space="preserve">only issue here as </w:t>
      </w:r>
      <w:r w:rsidR="00F72F88">
        <w:rPr>
          <w:rStyle w:val="normaltextrun"/>
          <w:rFonts w:ascii="Century Schoolbook" w:hAnsi="Century Schoolbook" w:cs="Calibri"/>
        </w:rPr>
        <w:t>“</w:t>
      </w:r>
      <w:r w:rsidR="00E958DC">
        <w:rPr>
          <w:rStyle w:val="normaltextrun"/>
          <w:rFonts w:ascii="Century Schoolbook" w:hAnsi="Century Schoolbook" w:cs="Calibri"/>
        </w:rPr>
        <w:t>arising out of</w:t>
      </w:r>
      <w:r w:rsidR="00F72F88">
        <w:rPr>
          <w:rStyle w:val="normaltextrun"/>
          <w:rFonts w:ascii="Century Schoolbook" w:hAnsi="Century Schoolbook" w:cs="Calibri"/>
        </w:rPr>
        <w:t>”</w:t>
      </w:r>
      <w:r w:rsidR="00E958DC">
        <w:rPr>
          <w:rStyle w:val="normaltextrun"/>
          <w:rFonts w:ascii="Century Schoolbook" w:hAnsi="Century Schoolbook" w:cs="Calibri"/>
        </w:rPr>
        <w:t xml:space="preserve"> employment,</w:t>
      </w:r>
      <w:r w:rsidR="005A3357">
        <w:rPr>
          <w:rStyle w:val="normaltextrun"/>
          <w:rFonts w:ascii="Century Schoolbook" w:hAnsi="Century Schoolbook" w:cs="Calibri"/>
        </w:rPr>
        <w:t xml:space="preserve"> </w:t>
      </w:r>
      <w:r w:rsidR="00832EA6">
        <w:rPr>
          <w:rStyle w:val="normaltextrun"/>
          <w:rFonts w:ascii="Century Schoolbook" w:hAnsi="Century Schoolbook" w:cs="Calibri"/>
        </w:rPr>
        <w:t xml:space="preserve">The Court decided to go through the entire </w:t>
      </w:r>
      <w:r w:rsidR="00D74C75">
        <w:rPr>
          <w:rStyle w:val="normaltextrun"/>
          <w:rFonts w:ascii="Century Schoolbook" w:hAnsi="Century Schoolbook" w:cs="Calibri"/>
        </w:rPr>
        <w:t>two-pronged</w:t>
      </w:r>
      <w:r>
        <w:rPr>
          <w:rStyle w:val="normaltextrun"/>
          <w:rFonts w:ascii="Century Schoolbook" w:hAnsi="Century Schoolbook" w:cs="Calibri"/>
        </w:rPr>
        <w:t xml:space="preserve"> analysis.</w:t>
      </w:r>
      <w:r w:rsidR="004959CB">
        <w:rPr>
          <w:rStyle w:val="FootnoteReference"/>
          <w:rFonts w:ascii="Century Schoolbook" w:hAnsi="Century Schoolbook" w:cs="Calibri"/>
        </w:rPr>
        <w:footnoteReference w:id="17"/>
      </w:r>
      <w:r>
        <w:rPr>
          <w:rStyle w:val="normaltextrun"/>
          <w:rFonts w:ascii="Century Schoolbook" w:hAnsi="Century Schoolbook" w:cs="Calibri"/>
        </w:rPr>
        <w:t xml:space="preserve"> </w:t>
      </w:r>
      <w:r w:rsidR="0041375E">
        <w:rPr>
          <w:rStyle w:val="normaltextrun"/>
          <w:rFonts w:ascii="Century Schoolbook" w:hAnsi="Century Schoolbook" w:cs="Calibri"/>
        </w:rPr>
        <w:t xml:space="preserve">The Court reiterated that </w:t>
      </w:r>
      <w:r w:rsidR="0041375E" w:rsidRPr="0041375E">
        <w:rPr>
          <w:rStyle w:val="normaltextrun"/>
          <w:rFonts w:ascii="Century Schoolbook" w:hAnsi="Century Schoolbook" w:cs="Calibri"/>
        </w:rPr>
        <w:t>"The Workers’ Compensation Act provides for compensation for injuries that occur 'in the course of' employment and 'aris</w:t>
      </w:r>
      <w:r w:rsidR="00F72F88">
        <w:rPr>
          <w:rStyle w:val="normaltextrun"/>
          <w:rFonts w:ascii="Century Schoolbook" w:hAnsi="Century Schoolbook" w:cs="Calibri"/>
        </w:rPr>
        <w:t>e</w:t>
      </w:r>
      <w:r w:rsidR="0041375E" w:rsidRPr="0041375E">
        <w:rPr>
          <w:rStyle w:val="normaltextrun"/>
          <w:rFonts w:ascii="Century Schoolbook" w:hAnsi="Century Schoolbook" w:cs="Calibri"/>
        </w:rPr>
        <w:t xml:space="preserve"> out of' employment. See O</w:t>
      </w:r>
      <w:r w:rsidR="00F74777">
        <w:rPr>
          <w:rStyle w:val="normaltextrun"/>
          <w:rFonts w:ascii="Century Schoolbook" w:hAnsi="Century Schoolbook" w:cs="Calibri"/>
        </w:rPr>
        <w:t>.</w:t>
      </w:r>
      <w:r w:rsidR="0041375E" w:rsidRPr="0041375E">
        <w:rPr>
          <w:rStyle w:val="normaltextrun"/>
          <w:rFonts w:ascii="Century Schoolbook" w:hAnsi="Century Schoolbook" w:cs="Calibri"/>
        </w:rPr>
        <w:t>C</w:t>
      </w:r>
      <w:r w:rsidR="00F74777">
        <w:rPr>
          <w:rStyle w:val="normaltextrun"/>
          <w:rFonts w:ascii="Century Schoolbook" w:hAnsi="Century Schoolbook" w:cs="Calibri"/>
        </w:rPr>
        <w:t>.</w:t>
      </w:r>
      <w:r w:rsidR="0041375E" w:rsidRPr="0041375E">
        <w:rPr>
          <w:rStyle w:val="normaltextrun"/>
          <w:rFonts w:ascii="Century Schoolbook" w:hAnsi="Century Schoolbook" w:cs="Calibri"/>
        </w:rPr>
        <w:t>G</w:t>
      </w:r>
      <w:r w:rsidR="00F74777">
        <w:rPr>
          <w:rStyle w:val="normaltextrun"/>
          <w:rFonts w:ascii="Century Schoolbook" w:hAnsi="Century Schoolbook" w:cs="Calibri"/>
        </w:rPr>
        <w:t>.</w:t>
      </w:r>
      <w:r w:rsidR="0041375E" w:rsidRPr="0041375E">
        <w:rPr>
          <w:rStyle w:val="normaltextrun"/>
          <w:rFonts w:ascii="Century Schoolbook" w:hAnsi="Century Schoolbook" w:cs="Calibri"/>
        </w:rPr>
        <w:t>A</w:t>
      </w:r>
      <w:r w:rsidR="00F74777">
        <w:rPr>
          <w:rStyle w:val="normaltextrun"/>
          <w:rFonts w:ascii="Century Schoolbook" w:hAnsi="Century Schoolbook" w:cs="Calibri"/>
        </w:rPr>
        <w:t>.</w:t>
      </w:r>
      <w:r w:rsidR="0041375E" w:rsidRPr="0041375E">
        <w:rPr>
          <w:rStyle w:val="normaltextrun"/>
          <w:rFonts w:ascii="Century Schoolbook" w:hAnsi="Century Schoolbook" w:cs="Calibri"/>
        </w:rPr>
        <w:t xml:space="preserve"> § 34-9-1 (4)." </w:t>
      </w:r>
    </w:p>
    <w:p w14:paraId="7B73082F" w14:textId="7F875DFF" w:rsidR="004C4B1E" w:rsidRPr="000C7EBD" w:rsidRDefault="00A4013B" w:rsidP="000C7EBD">
      <w:pPr>
        <w:pStyle w:val="paragraph"/>
        <w:numPr>
          <w:ilvl w:val="0"/>
          <w:numId w:val="6"/>
        </w:numPr>
        <w:spacing w:before="0" w:beforeAutospacing="0" w:after="0" w:afterAutospacing="0" w:line="480" w:lineRule="auto"/>
        <w:textAlignment w:val="baseline"/>
        <w:rPr>
          <w:rStyle w:val="normaltextrun"/>
          <w:rFonts w:ascii="Century Schoolbook" w:hAnsi="Century Schoolbook" w:cs="Calibri"/>
          <w:i/>
          <w:iCs/>
        </w:rPr>
      </w:pPr>
      <w:r w:rsidRPr="000C7EBD">
        <w:rPr>
          <w:rStyle w:val="normaltextrun"/>
          <w:rFonts w:ascii="Century Schoolbook" w:hAnsi="Century Schoolbook" w:cs="Calibri"/>
          <w:i/>
          <w:iCs/>
        </w:rPr>
        <w:t>In the Course of Employment</w:t>
      </w:r>
      <w:r w:rsidR="00592988" w:rsidRPr="000C7EBD">
        <w:rPr>
          <w:rStyle w:val="normaltextrun"/>
          <w:rFonts w:ascii="Century Schoolbook" w:hAnsi="Century Schoolbook" w:cs="Calibri"/>
          <w:i/>
          <w:iCs/>
        </w:rPr>
        <w:t xml:space="preserve"> Analysis in Frett</w:t>
      </w:r>
    </w:p>
    <w:p w14:paraId="3BA5B2DC" w14:textId="2A350DF2" w:rsidR="00064C8D" w:rsidRDefault="00676DCD" w:rsidP="007529AA">
      <w:pPr>
        <w:pStyle w:val="paragraph"/>
        <w:spacing w:before="0" w:beforeAutospacing="0" w:after="0" w:afterAutospacing="0" w:line="480" w:lineRule="auto"/>
        <w:ind w:firstLine="720"/>
        <w:textAlignment w:val="baseline"/>
        <w:rPr>
          <w:rStyle w:val="normaltextrun"/>
          <w:rFonts w:ascii="Century Schoolbook" w:hAnsi="Century Schoolbook" w:cs="Calibri"/>
        </w:rPr>
      </w:pPr>
      <w:r>
        <w:rPr>
          <w:rStyle w:val="normaltextrun"/>
          <w:rFonts w:ascii="Century Schoolbook" w:hAnsi="Century Schoolbook" w:cs="Calibri"/>
        </w:rPr>
        <w:t>In considering the “course of employment” prong</w:t>
      </w:r>
      <w:r w:rsidR="003F33DC">
        <w:rPr>
          <w:rStyle w:val="normaltextrun"/>
          <w:rFonts w:ascii="Century Schoolbook" w:hAnsi="Century Schoolbook" w:cs="Calibri"/>
        </w:rPr>
        <w:t>,</w:t>
      </w:r>
      <w:r w:rsidR="0082351C">
        <w:rPr>
          <w:rStyle w:val="normaltextrun"/>
          <w:rFonts w:ascii="Century Schoolbook" w:hAnsi="Century Schoolbook" w:cs="Calibri"/>
        </w:rPr>
        <w:t xml:space="preserve"> </w:t>
      </w:r>
      <w:r w:rsidR="007529AA" w:rsidRPr="004D408D">
        <w:rPr>
          <w:rStyle w:val="normaltextrun"/>
          <w:rFonts w:ascii="Century Schoolbook" w:hAnsi="Century Schoolbook" w:cs="Calibri"/>
        </w:rPr>
        <w:t>an</w:t>
      </w:r>
      <w:r w:rsidR="004D408D" w:rsidRPr="004D408D">
        <w:rPr>
          <w:rStyle w:val="normaltextrun"/>
          <w:rFonts w:ascii="Century Schoolbook" w:hAnsi="Century Schoolbook" w:cs="Calibri"/>
        </w:rPr>
        <w:t xml:space="preserve"> employee will be in the course of employment while</w:t>
      </w:r>
      <w:r w:rsidR="00D21E82" w:rsidRPr="00D21E82">
        <w:rPr>
          <w:rStyle w:val="normaltextrun"/>
          <w:rFonts w:ascii="Century Schoolbook" w:hAnsi="Century Schoolbook" w:cs="Calibri"/>
        </w:rPr>
        <w:t xml:space="preserve"> </w:t>
      </w:r>
      <w:r w:rsidR="008171F5" w:rsidRPr="00DD37A1">
        <w:rPr>
          <w:rStyle w:val="normaltextrun"/>
          <w:rFonts w:ascii="Century Schoolbook" w:hAnsi="Century Schoolbook" w:cs="Calibri"/>
        </w:rPr>
        <w:t>engaged</w:t>
      </w:r>
      <w:r w:rsidR="00E96296" w:rsidRPr="00E96296">
        <w:rPr>
          <w:rStyle w:val="normaltextrun"/>
          <w:rFonts w:ascii="Century Schoolbook" w:hAnsi="Century Schoolbook" w:cs="Calibri"/>
        </w:rPr>
        <w:t xml:space="preserve"> </w:t>
      </w:r>
      <w:r w:rsidR="00415E59" w:rsidRPr="00415E59">
        <w:rPr>
          <w:rStyle w:val="normaltextrun"/>
          <w:rFonts w:ascii="Century Schoolbook" w:hAnsi="Century Schoolbook" w:cs="Calibri"/>
        </w:rPr>
        <w:t xml:space="preserve">in the performance of her </w:t>
      </w:r>
      <w:r w:rsidR="00D760F9" w:rsidRPr="00D760F9">
        <w:rPr>
          <w:rStyle w:val="normaltextrun"/>
          <w:rFonts w:ascii="Century Schoolbook" w:hAnsi="Century Schoolbook" w:cs="Calibri"/>
        </w:rPr>
        <w:t xml:space="preserve">assigned work, but </w:t>
      </w:r>
      <w:r w:rsidR="00693D34" w:rsidRPr="00693D34">
        <w:rPr>
          <w:rStyle w:val="normaltextrun"/>
          <w:rFonts w:ascii="Century Schoolbook" w:hAnsi="Century Schoolbook" w:cs="Calibri"/>
        </w:rPr>
        <w:t xml:space="preserve">also </w:t>
      </w:r>
      <w:r w:rsidR="00022C01" w:rsidRPr="00022C01">
        <w:rPr>
          <w:rStyle w:val="normaltextrun"/>
          <w:rFonts w:ascii="Century Schoolbook" w:hAnsi="Century Schoolbook" w:cs="Calibri"/>
        </w:rPr>
        <w:t xml:space="preserve">when the employee is </w:t>
      </w:r>
      <w:r w:rsidR="006062FE" w:rsidRPr="006062FE">
        <w:rPr>
          <w:rStyle w:val="normaltextrun"/>
          <w:rFonts w:ascii="Century Schoolbook" w:hAnsi="Century Schoolbook" w:cs="Calibri"/>
        </w:rPr>
        <w:t xml:space="preserve">engaged in activities that are incidental </w:t>
      </w:r>
      <w:r w:rsidR="00CF5784" w:rsidRPr="00CF5784">
        <w:rPr>
          <w:rStyle w:val="normaltextrun"/>
          <w:rFonts w:ascii="Century Schoolbook" w:hAnsi="Century Schoolbook" w:cs="Calibri"/>
        </w:rPr>
        <w:t>to her assigned work</w:t>
      </w:r>
      <w:r w:rsidR="00284044" w:rsidRPr="00284044">
        <w:rPr>
          <w:rStyle w:val="normaltextrun"/>
          <w:rFonts w:ascii="Century Schoolbook" w:hAnsi="Century Schoolbook" w:cs="Calibri"/>
        </w:rPr>
        <w:t>.</w:t>
      </w:r>
      <w:r w:rsidR="00CF5784" w:rsidRPr="00CF5784">
        <w:rPr>
          <w:rStyle w:val="normaltextrun"/>
          <w:rFonts w:ascii="Century Schoolbook" w:hAnsi="Century Schoolbook" w:cs="Calibri"/>
        </w:rPr>
        <w:t xml:space="preserve"> </w:t>
      </w:r>
      <w:r w:rsidR="0080499A" w:rsidRPr="0080499A">
        <w:rPr>
          <w:rStyle w:val="normaltextrun"/>
          <w:rFonts w:ascii="Century Schoolbook" w:hAnsi="Century Schoolbook" w:cs="Calibri"/>
        </w:rPr>
        <w:t>Factors that are relevant to this analysis</w:t>
      </w:r>
      <w:r w:rsidR="00A0743C">
        <w:rPr>
          <w:rStyle w:val="normaltextrun"/>
          <w:rFonts w:ascii="Century Schoolbook" w:hAnsi="Century Schoolbook" w:cs="Calibri"/>
        </w:rPr>
        <w:t xml:space="preserve"> may</w:t>
      </w:r>
      <w:r w:rsidR="0080499A" w:rsidRPr="0080499A">
        <w:rPr>
          <w:rStyle w:val="normaltextrun"/>
          <w:rFonts w:ascii="Century Schoolbook" w:hAnsi="Century Schoolbook" w:cs="Calibri"/>
        </w:rPr>
        <w:t xml:space="preserve"> </w:t>
      </w:r>
      <w:r w:rsidR="00FF34ED" w:rsidRPr="00FF34ED">
        <w:rPr>
          <w:rStyle w:val="normaltextrun"/>
          <w:rFonts w:ascii="Century Schoolbook" w:hAnsi="Century Schoolbook" w:cs="Calibri"/>
        </w:rPr>
        <w:t>include</w:t>
      </w:r>
      <w:r w:rsidR="00064C8D">
        <w:rPr>
          <w:rStyle w:val="normaltextrun"/>
          <w:rFonts w:ascii="Century Schoolbook" w:hAnsi="Century Schoolbook" w:cs="Calibri"/>
        </w:rPr>
        <w:t>:</w:t>
      </w:r>
    </w:p>
    <w:p w14:paraId="5EDB6F15" w14:textId="77777777" w:rsidR="009E1F1F" w:rsidRDefault="009E1F1F" w:rsidP="007529AA">
      <w:pPr>
        <w:pStyle w:val="paragraph"/>
        <w:spacing w:before="0" w:beforeAutospacing="0" w:after="0" w:afterAutospacing="0" w:line="480" w:lineRule="auto"/>
        <w:ind w:firstLine="720"/>
        <w:textAlignment w:val="baseline"/>
        <w:rPr>
          <w:rStyle w:val="normaltextrun"/>
          <w:rFonts w:ascii="Century Schoolbook" w:hAnsi="Century Schoolbook" w:cs="Calibri"/>
        </w:rPr>
      </w:pPr>
    </w:p>
    <w:p w14:paraId="3E4C658A" w14:textId="15143F82" w:rsidR="00064C8D" w:rsidRDefault="0086064D" w:rsidP="009E1F1F">
      <w:pPr>
        <w:pStyle w:val="paragraph"/>
        <w:numPr>
          <w:ilvl w:val="0"/>
          <w:numId w:val="5"/>
        </w:numPr>
        <w:spacing w:before="0" w:beforeAutospacing="0" w:after="0" w:afterAutospacing="0" w:line="480" w:lineRule="auto"/>
        <w:textAlignment w:val="baseline"/>
        <w:rPr>
          <w:rStyle w:val="normaltextrun"/>
          <w:rFonts w:ascii="Century Schoolbook" w:hAnsi="Century Schoolbook" w:cs="Calibri"/>
        </w:rPr>
      </w:pPr>
      <w:r w:rsidRPr="0086064D">
        <w:rPr>
          <w:rStyle w:val="normaltextrun"/>
          <w:rFonts w:ascii="Century Schoolbook" w:hAnsi="Century Schoolbook" w:cs="Calibri"/>
        </w:rPr>
        <w:t xml:space="preserve">whether the </w:t>
      </w:r>
      <w:r w:rsidR="00BB459E" w:rsidRPr="00BB459E">
        <w:rPr>
          <w:rStyle w:val="normaltextrun"/>
          <w:rFonts w:ascii="Century Schoolbook" w:hAnsi="Century Schoolbook" w:cs="Calibri"/>
        </w:rPr>
        <w:t xml:space="preserve">employee was ingressing </w:t>
      </w:r>
      <w:r w:rsidR="00B96EB3">
        <w:rPr>
          <w:rStyle w:val="normaltextrun"/>
          <w:rFonts w:ascii="Century Schoolbook" w:hAnsi="Century Schoolbook" w:cs="Calibri"/>
        </w:rPr>
        <w:t>or</w:t>
      </w:r>
      <w:r w:rsidR="00D35789" w:rsidRPr="00D35789">
        <w:rPr>
          <w:rStyle w:val="normaltextrun"/>
          <w:rFonts w:ascii="Century Schoolbook" w:hAnsi="Century Schoolbook" w:cs="Calibri"/>
        </w:rPr>
        <w:t xml:space="preserve"> </w:t>
      </w:r>
      <w:r w:rsidR="00CB0DFC">
        <w:rPr>
          <w:rStyle w:val="normaltextrun"/>
          <w:rFonts w:ascii="Century Schoolbook" w:hAnsi="Century Schoolbook" w:cs="Calibri"/>
        </w:rPr>
        <w:t>eg</w:t>
      </w:r>
      <w:r w:rsidR="00D35789" w:rsidRPr="00D35789">
        <w:rPr>
          <w:rStyle w:val="normaltextrun"/>
          <w:rFonts w:ascii="Century Schoolbook" w:hAnsi="Century Schoolbook" w:cs="Calibri"/>
        </w:rPr>
        <w:t>r</w:t>
      </w:r>
      <w:r w:rsidR="00CB0DFC">
        <w:rPr>
          <w:rStyle w:val="normaltextrun"/>
          <w:rFonts w:ascii="Century Schoolbook" w:hAnsi="Century Schoolbook" w:cs="Calibri"/>
        </w:rPr>
        <w:t>e</w:t>
      </w:r>
      <w:r w:rsidR="00D35789" w:rsidRPr="00D35789">
        <w:rPr>
          <w:rStyle w:val="normaltextrun"/>
          <w:rFonts w:ascii="Century Schoolbook" w:hAnsi="Century Schoolbook" w:cs="Calibri"/>
        </w:rPr>
        <w:t>ssing</w:t>
      </w:r>
      <w:r w:rsidR="00BB459E" w:rsidRPr="00BB459E">
        <w:rPr>
          <w:rStyle w:val="normaltextrun"/>
          <w:rFonts w:ascii="Century Schoolbook" w:hAnsi="Century Schoolbook" w:cs="Calibri"/>
        </w:rPr>
        <w:t xml:space="preserve"> </w:t>
      </w:r>
      <w:r w:rsidR="00B96EB3">
        <w:rPr>
          <w:rStyle w:val="normaltextrun"/>
          <w:rFonts w:ascii="Century Schoolbook" w:hAnsi="Century Schoolbook" w:cs="Calibri"/>
        </w:rPr>
        <w:t>the premises</w:t>
      </w:r>
    </w:p>
    <w:p w14:paraId="1BD6DB8E" w14:textId="6C30372A" w:rsidR="00064C8D" w:rsidRDefault="007113D7" w:rsidP="009E1F1F">
      <w:pPr>
        <w:pStyle w:val="paragraph"/>
        <w:numPr>
          <w:ilvl w:val="0"/>
          <w:numId w:val="5"/>
        </w:numPr>
        <w:spacing w:before="0" w:beforeAutospacing="0" w:after="0" w:afterAutospacing="0" w:line="480" w:lineRule="auto"/>
        <w:textAlignment w:val="baseline"/>
        <w:rPr>
          <w:rStyle w:val="normaltextrun"/>
          <w:rFonts w:ascii="Century Schoolbook" w:hAnsi="Century Schoolbook" w:cs="Calibri"/>
        </w:rPr>
      </w:pPr>
      <w:r w:rsidRPr="007113D7">
        <w:rPr>
          <w:rStyle w:val="normaltextrun"/>
          <w:rFonts w:ascii="Century Schoolbook" w:hAnsi="Century Schoolbook" w:cs="Calibri"/>
        </w:rPr>
        <w:t xml:space="preserve">whether the employee was </w:t>
      </w:r>
      <w:r w:rsidR="00BE590D" w:rsidRPr="00BE590D">
        <w:rPr>
          <w:rStyle w:val="normaltextrun"/>
          <w:rFonts w:ascii="Century Schoolbook" w:hAnsi="Century Schoolbook" w:cs="Calibri"/>
        </w:rPr>
        <w:t xml:space="preserve">attending </w:t>
      </w:r>
      <w:r w:rsidR="00D25B79" w:rsidRPr="00D25B79">
        <w:rPr>
          <w:rStyle w:val="normaltextrun"/>
          <w:rFonts w:ascii="Century Schoolbook" w:hAnsi="Century Schoolbook" w:cs="Calibri"/>
        </w:rPr>
        <w:t>to routine personal needs</w:t>
      </w:r>
    </w:p>
    <w:p w14:paraId="63046E3B" w14:textId="10C1292B" w:rsidR="00064C8D" w:rsidRDefault="00774F62" w:rsidP="009E1F1F">
      <w:pPr>
        <w:pStyle w:val="paragraph"/>
        <w:numPr>
          <w:ilvl w:val="0"/>
          <w:numId w:val="5"/>
        </w:numPr>
        <w:spacing w:before="0" w:beforeAutospacing="0" w:after="0" w:afterAutospacing="0" w:line="480" w:lineRule="auto"/>
        <w:textAlignment w:val="baseline"/>
        <w:rPr>
          <w:rStyle w:val="normaltextrun"/>
          <w:rFonts w:ascii="Century Schoolbook" w:hAnsi="Century Schoolbook" w:cs="Calibri"/>
        </w:rPr>
      </w:pPr>
      <w:r>
        <w:rPr>
          <w:rStyle w:val="normaltextrun"/>
          <w:rFonts w:ascii="Century Schoolbook" w:hAnsi="Century Schoolbook" w:cs="Calibri"/>
        </w:rPr>
        <w:lastRenderedPageBreak/>
        <w:t>whether the employee was doing something</w:t>
      </w:r>
      <w:r w:rsidR="009E1F1F">
        <w:rPr>
          <w:rStyle w:val="normaltextrun"/>
          <w:rFonts w:ascii="Century Schoolbook" w:hAnsi="Century Schoolbook" w:cs="Calibri"/>
        </w:rPr>
        <w:t xml:space="preserve"> else</w:t>
      </w:r>
      <w:r>
        <w:rPr>
          <w:rStyle w:val="normaltextrun"/>
          <w:rFonts w:ascii="Century Schoolbook" w:hAnsi="Century Schoolbook" w:cs="Calibri"/>
        </w:rPr>
        <w:t xml:space="preserve"> incidental to employment</w:t>
      </w:r>
      <w:r w:rsidR="001B3216">
        <w:rPr>
          <w:rStyle w:val="normaltextrun"/>
          <w:rFonts w:ascii="Century Schoolbook" w:hAnsi="Century Schoolbook" w:cs="Calibri"/>
        </w:rPr>
        <w:t xml:space="preserve"> </w:t>
      </w:r>
    </w:p>
    <w:p w14:paraId="48417516" w14:textId="160CA7D5" w:rsidR="00B23468" w:rsidRPr="00B23468" w:rsidRDefault="001B3216" w:rsidP="009E1F1F">
      <w:pPr>
        <w:pStyle w:val="paragraph"/>
        <w:numPr>
          <w:ilvl w:val="0"/>
          <w:numId w:val="5"/>
        </w:numPr>
        <w:spacing w:before="0" w:beforeAutospacing="0" w:after="0" w:afterAutospacing="0" w:line="480" w:lineRule="auto"/>
        <w:textAlignment w:val="baseline"/>
        <w:rPr>
          <w:rStyle w:val="normaltextrun"/>
          <w:rFonts w:ascii="Century Schoolbook" w:hAnsi="Century Schoolbook" w:cs="Calibri"/>
        </w:rPr>
      </w:pPr>
      <w:r>
        <w:rPr>
          <w:rStyle w:val="normaltextrun"/>
          <w:rFonts w:ascii="Century Schoolbook" w:hAnsi="Century Schoolbook" w:cs="Calibri"/>
        </w:rPr>
        <w:t>whether the employee remains on the premises</w:t>
      </w:r>
      <w:r w:rsidR="00774F62">
        <w:rPr>
          <w:rStyle w:val="normaltextrun"/>
          <w:rFonts w:ascii="Century Schoolbook" w:hAnsi="Century Schoolbook" w:cs="Calibri"/>
        </w:rPr>
        <w:t xml:space="preserve"> </w:t>
      </w:r>
    </w:p>
    <w:p w14:paraId="6952C340" w14:textId="565B6CA2" w:rsidR="00676DCD" w:rsidRDefault="00617DE3" w:rsidP="007529AA">
      <w:pPr>
        <w:pStyle w:val="paragraph"/>
        <w:spacing w:after="0" w:line="480" w:lineRule="auto"/>
        <w:ind w:firstLine="720"/>
        <w:textAlignment w:val="baseline"/>
        <w:rPr>
          <w:rStyle w:val="normaltextrun"/>
          <w:rFonts w:ascii="Century Schoolbook" w:hAnsi="Century Schoolbook" w:cs="Calibri"/>
        </w:rPr>
      </w:pPr>
      <w:r>
        <w:rPr>
          <w:rStyle w:val="normaltextrun"/>
          <w:rFonts w:ascii="Century Schoolbook" w:hAnsi="Century Schoolbook" w:cs="Calibri"/>
        </w:rPr>
        <w:t>If</w:t>
      </w:r>
      <w:r w:rsidR="00C01855">
        <w:rPr>
          <w:rStyle w:val="normaltextrun"/>
          <w:rFonts w:ascii="Century Schoolbook" w:hAnsi="Century Schoolbook" w:cs="Calibri"/>
        </w:rPr>
        <w:t xml:space="preserve"> the employee is doing something </w:t>
      </w:r>
      <w:r w:rsidR="00A0743C">
        <w:rPr>
          <w:rStyle w:val="normaltextrun"/>
          <w:rFonts w:ascii="Century Schoolbook" w:hAnsi="Century Schoolbook" w:cs="Calibri"/>
        </w:rPr>
        <w:t>“</w:t>
      </w:r>
      <w:r w:rsidR="00C01855">
        <w:rPr>
          <w:rStyle w:val="normaltextrun"/>
          <w:rFonts w:ascii="Century Schoolbook" w:hAnsi="Century Schoolbook" w:cs="Calibri"/>
        </w:rPr>
        <w:t>incidental</w:t>
      </w:r>
      <w:r w:rsidR="00A0743C">
        <w:rPr>
          <w:rStyle w:val="normaltextrun"/>
          <w:rFonts w:ascii="Century Schoolbook" w:hAnsi="Century Schoolbook" w:cs="Calibri"/>
        </w:rPr>
        <w:t>”</w:t>
      </w:r>
      <w:r w:rsidR="00C01855">
        <w:rPr>
          <w:rStyle w:val="normaltextrun"/>
          <w:rFonts w:ascii="Century Schoolbook" w:hAnsi="Century Schoolbook" w:cs="Calibri"/>
        </w:rPr>
        <w:t xml:space="preserve"> to employment, they should remain within the course of employment. </w:t>
      </w:r>
      <w:r w:rsidR="00F15C45">
        <w:rPr>
          <w:rStyle w:val="normaltextrun"/>
          <w:rFonts w:ascii="Century Schoolbook" w:hAnsi="Century Schoolbook" w:cs="Calibri"/>
        </w:rPr>
        <w:t xml:space="preserve">The </w:t>
      </w:r>
      <w:r w:rsidR="00F15C45" w:rsidRPr="002C2782">
        <w:rPr>
          <w:rStyle w:val="normaltextrun"/>
          <w:rFonts w:ascii="Century Schoolbook" w:hAnsi="Century Schoolbook" w:cs="Calibri"/>
          <w:i/>
          <w:iCs/>
        </w:rPr>
        <w:t>personal comfort doctrine</w:t>
      </w:r>
      <w:r w:rsidR="00F15C45">
        <w:rPr>
          <w:rStyle w:val="normaltextrun"/>
          <w:rFonts w:ascii="Century Schoolbook" w:hAnsi="Century Schoolbook" w:cs="Calibri"/>
        </w:rPr>
        <w:t xml:space="preserve"> states that an employee who “</w:t>
      </w:r>
      <w:r w:rsidR="00B23468" w:rsidRPr="00B23468">
        <w:rPr>
          <w:rStyle w:val="normaltextrun"/>
          <w:rFonts w:ascii="Century Schoolbook" w:hAnsi="Century Schoolbook" w:cs="Calibri"/>
        </w:rPr>
        <w:t>engages in an act to minister to his personal comfort (whether it is satisfying his hunger, quenching his thirst, relieving himself, or otherwise), ordinarily does not leave the course of his employment</w:t>
      </w:r>
      <w:r w:rsidR="005E03F6">
        <w:rPr>
          <w:rStyle w:val="normaltextrun"/>
          <w:rFonts w:ascii="Century Schoolbook" w:hAnsi="Century Schoolbook" w:cs="Calibri"/>
        </w:rPr>
        <w:t>.</w:t>
      </w:r>
      <w:r w:rsidR="00F15C45">
        <w:rPr>
          <w:rStyle w:val="normaltextrun"/>
          <w:rFonts w:ascii="Century Schoolbook" w:hAnsi="Century Schoolbook" w:cs="Calibri"/>
        </w:rPr>
        <w:t>”</w:t>
      </w:r>
      <w:r w:rsidR="005E03F6">
        <w:rPr>
          <w:rStyle w:val="FootnoteReference"/>
          <w:rFonts w:ascii="Century Schoolbook" w:hAnsi="Century Schoolbook" w:cs="Calibri"/>
        </w:rPr>
        <w:footnoteReference w:id="18"/>
      </w:r>
      <w:r w:rsidR="007529AA">
        <w:rPr>
          <w:rStyle w:val="normaltextrun"/>
          <w:rFonts w:ascii="Century Schoolbook" w:hAnsi="Century Schoolbook" w:cs="Calibri"/>
        </w:rPr>
        <w:t xml:space="preserve"> </w:t>
      </w:r>
      <w:r w:rsidR="001B3216">
        <w:rPr>
          <w:rStyle w:val="normaltextrun"/>
          <w:rFonts w:ascii="Century Schoolbook" w:hAnsi="Century Schoolbook" w:cs="Calibri"/>
        </w:rPr>
        <w:t xml:space="preserve">Here, the Court </w:t>
      </w:r>
      <w:r w:rsidR="002C555B">
        <w:rPr>
          <w:rStyle w:val="normaltextrun"/>
          <w:rFonts w:ascii="Century Schoolbook" w:hAnsi="Century Schoolbook" w:cs="Calibri"/>
        </w:rPr>
        <w:t>reasons, “</w:t>
      </w:r>
      <w:r w:rsidR="002C555B" w:rsidRPr="002C555B">
        <w:rPr>
          <w:rStyle w:val="normaltextrun"/>
          <w:rFonts w:ascii="Century Schoolbook" w:hAnsi="Century Schoolbook" w:cs="Calibri"/>
        </w:rPr>
        <w:t>"This activity</w:t>
      </w:r>
      <w:r w:rsidR="002C555B">
        <w:rPr>
          <w:rStyle w:val="normaltextrun"/>
          <w:rFonts w:ascii="Century Schoolbook" w:hAnsi="Century Schoolbook" w:cs="Calibri"/>
        </w:rPr>
        <w:t xml:space="preserve"> [eating lunch]</w:t>
      </w:r>
      <w:r w:rsidR="002C555B" w:rsidRPr="002C555B">
        <w:rPr>
          <w:rStyle w:val="normaltextrun"/>
          <w:rFonts w:ascii="Century Schoolbook" w:hAnsi="Century Schoolbook" w:cs="Calibri"/>
        </w:rPr>
        <w:t xml:space="preserve">, being reasonably necessary to sustain her comfort at work, was incidental to her employment and is not beyond the scope of compensability under the Act." </w:t>
      </w:r>
      <w:r w:rsidR="002C555B">
        <w:rPr>
          <w:rStyle w:val="FootnoteReference"/>
          <w:rFonts w:ascii="Century Schoolbook" w:hAnsi="Century Schoolbook" w:cs="Calibri"/>
        </w:rPr>
        <w:footnoteReference w:id="19"/>
      </w:r>
    </w:p>
    <w:p w14:paraId="4D9D65F6" w14:textId="484B73D2" w:rsidR="00946C11" w:rsidRPr="000C7EBD" w:rsidRDefault="00946C11" w:rsidP="000C7EBD">
      <w:pPr>
        <w:pStyle w:val="paragraph"/>
        <w:numPr>
          <w:ilvl w:val="0"/>
          <w:numId w:val="6"/>
        </w:numPr>
        <w:spacing w:before="0" w:beforeAutospacing="0" w:after="0" w:afterAutospacing="0" w:line="480" w:lineRule="auto"/>
        <w:textAlignment w:val="baseline"/>
        <w:rPr>
          <w:rStyle w:val="normaltextrun"/>
          <w:rFonts w:ascii="Century Schoolbook" w:hAnsi="Century Schoolbook" w:cs="Calibri"/>
          <w:i/>
          <w:iCs/>
        </w:rPr>
      </w:pPr>
      <w:r w:rsidRPr="000C7EBD">
        <w:rPr>
          <w:rStyle w:val="normaltextrun"/>
          <w:rFonts w:ascii="Century Schoolbook" w:hAnsi="Century Schoolbook" w:cs="Calibri"/>
          <w:i/>
          <w:iCs/>
        </w:rPr>
        <w:t>Arising out of employment</w:t>
      </w:r>
      <w:r w:rsidR="00592988" w:rsidRPr="000C7EBD">
        <w:rPr>
          <w:rStyle w:val="normaltextrun"/>
          <w:rFonts w:ascii="Century Schoolbook" w:hAnsi="Century Schoolbook" w:cs="Calibri"/>
          <w:i/>
          <w:iCs/>
        </w:rPr>
        <w:t xml:space="preserve"> Analysis in Frett</w:t>
      </w:r>
    </w:p>
    <w:p w14:paraId="15DAB4FF" w14:textId="0C8AE68E" w:rsidR="009B62BC" w:rsidRDefault="00644965" w:rsidP="009B62BC">
      <w:pPr>
        <w:pStyle w:val="paragraph"/>
        <w:spacing w:before="0" w:beforeAutospacing="0" w:after="0" w:afterAutospacing="0" w:line="480" w:lineRule="auto"/>
        <w:ind w:firstLine="720"/>
        <w:textAlignment w:val="baseline"/>
        <w:rPr>
          <w:rStyle w:val="eop"/>
          <w:rFonts w:ascii="Century Schoolbook" w:hAnsi="Century Schoolbook" w:cs="Calibri"/>
        </w:rPr>
      </w:pPr>
      <w:r w:rsidRPr="00644965">
        <w:rPr>
          <w:rStyle w:val="eop"/>
          <w:rFonts w:ascii="Century Schoolbook" w:hAnsi="Century Schoolbook" w:cs="Calibri"/>
        </w:rPr>
        <w:t xml:space="preserve">The Supreme Court </w:t>
      </w:r>
      <w:r w:rsidR="00E727ED" w:rsidRPr="00644965">
        <w:rPr>
          <w:rStyle w:val="eop"/>
          <w:rFonts w:ascii="Century Schoolbook" w:hAnsi="Century Schoolbook" w:cs="Calibri"/>
        </w:rPr>
        <w:t>decide</w:t>
      </w:r>
      <w:r w:rsidR="002C2782">
        <w:rPr>
          <w:rStyle w:val="eop"/>
          <w:rFonts w:ascii="Century Schoolbook" w:hAnsi="Century Schoolbook" w:cs="Calibri"/>
        </w:rPr>
        <w:t>d</w:t>
      </w:r>
      <w:r w:rsidR="002722B0" w:rsidRPr="002722B0">
        <w:rPr>
          <w:rStyle w:val="eop"/>
          <w:rFonts w:ascii="Century Schoolbook" w:hAnsi="Century Schoolbook" w:cs="Calibri"/>
        </w:rPr>
        <w:t xml:space="preserve"> that </w:t>
      </w:r>
      <w:r w:rsidR="000065B6">
        <w:rPr>
          <w:rStyle w:val="eop"/>
          <w:rFonts w:ascii="Century Schoolbook" w:hAnsi="Century Schoolbook" w:cs="Calibri"/>
        </w:rPr>
        <w:t>Frett</w:t>
      </w:r>
      <w:r w:rsidR="00037FFE" w:rsidRPr="00037FFE">
        <w:rPr>
          <w:rStyle w:val="eop"/>
          <w:rFonts w:ascii="Century Schoolbook" w:hAnsi="Century Schoolbook" w:cs="Calibri"/>
        </w:rPr>
        <w:t>'s</w:t>
      </w:r>
      <w:r w:rsidR="002722B0" w:rsidRPr="002722B0">
        <w:rPr>
          <w:rStyle w:val="eop"/>
          <w:rFonts w:ascii="Century Schoolbook" w:hAnsi="Century Schoolbook" w:cs="Calibri"/>
        </w:rPr>
        <w:t xml:space="preserve"> accident </w:t>
      </w:r>
      <w:r w:rsidR="00037FFE" w:rsidRPr="00037FFE">
        <w:rPr>
          <w:rStyle w:val="eop"/>
          <w:rFonts w:ascii="Century Schoolbook" w:hAnsi="Century Schoolbook" w:cs="Calibri"/>
        </w:rPr>
        <w:t>arose out of employment</w:t>
      </w:r>
      <w:r w:rsidR="00A90242" w:rsidRPr="00A90242">
        <w:rPr>
          <w:rStyle w:val="eop"/>
          <w:rFonts w:ascii="Century Schoolbook" w:hAnsi="Century Schoolbook" w:cs="Calibri"/>
        </w:rPr>
        <w:t>.</w:t>
      </w:r>
      <w:r w:rsidR="002C26F8">
        <w:rPr>
          <w:rStyle w:val="eop"/>
          <w:rFonts w:ascii="Century Schoolbook" w:hAnsi="Century Schoolbook" w:cs="Calibri"/>
        </w:rPr>
        <w:t xml:space="preserve"> </w:t>
      </w:r>
      <w:r w:rsidR="00DD7938">
        <w:rPr>
          <w:rStyle w:val="eop"/>
          <w:rFonts w:ascii="Century Schoolbook" w:hAnsi="Century Schoolbook" w:cs="Calibri"/>
        </w:rPr>
        <w:t>Though</w:t>
      </w:r>
      <w:r w:rsidR="00233946">
        <w:rPr>
          <w:rStyle w:val="eop"/>
          <w:rFonts w:ascii="Century Schoolbook" w:hAnsi="Century Schoolbook" w:cs="Calibri"/>
        </w:rPr>
        <w:t xml:space="preserve"> neither</w:t>
      </w:r>
      <w:r w:rsidR="00171104" w:rsidRPr="00171104">
        <w:rPr>
          <w:rStyle w:val="eop"/>
          <w:rFonts w:ascii="Century Schoolbook" w:hAnsi="Century Schoolbook" w:cs="Calibri"/>
        </w:rPr>
        <w:t xml:space="preserve"> the</w:t>
      </w:r>
      <w:r w:rsidR="00671F4B">
        <w:rPr>
          <w:rStyle w:val="eop"/>
          <w:rFonts w:ascii="Century Schoolbook" w:hAnsi="Century Schoolbook" w:cs="Calibri"/>
        </w:rPr>
        <w:t xml:space="preserve"> fact that the claimant was “egressing”</w:t>
      </w:r>
      <w:r w:rsidR="003C2389" w:rsidRPr="003C2389">
        <w:rPr>
          <w:rStyle w:val="eop"/>
          <w:rFonts w:ascii="Century Schoolbook" w:hAnsi="Century Schoolbook" w:cs="Calibri"/>
        </w:rPr>
        <w:t xml:space="preserve"> or </w:t>
      </w:r>
      <w:r w:rsidR="009D7926" w:rsidRPr="009D7926">
        <w:rPr>
          <w:rStyle w:val="eop"/>
          <w:rFonts w:ascii="Century Schoolbook" w:hAnsi="Century Schoolbook" w:cs="Calibri"/>
        </w:rPr>
        <w:t xml:space="preserve">the fact </w:t>
      </w:r>
      <w:r w:rsidR="005E51F3" w:rsidRPr="005E51F3">
        <w:rPr>
          <w:rStyle w:val="eop"/>
          <w:rFonts w:ascii="Century Schoolbook" w:hAnsi="Century Schoolbook" w:cs="Calibri"/>
        </w:rPr>
        <w:t xml:space="preserve">that the employee was on a </w:t>
      </w:r>
      <w:r w:rsidR="00DD7938">
        <w:rPr>
          <w:rStyle w:val="eop"/>
          <w:rFonts w:ascii="Century Schoolbook" w:hAnsi="Century Schoolbook" w:cs="Calibri"/>
        </w:rPr>
        <w:t>“</w:t>
      </w:r>
      <w:r w:rsidR="005E51F3" w:rsidRPr="005E51F3">
        <w:rPr>
          <w:rStyle w:val="eop"/>
          <w:rFonts w:ascii="Century Schoolbook" w:hAnsi="Century Schoolbook" w:cs="Calibri"/>
        </w:rPr>
        <w:t>scheduled break</w:t>
      </w:r>
      <w:r w:rsidR="00DD7938">
        <w:rPr>
          <w:rStyle w:val="eop"/>
          <w:rFonts w:ascii="Century Schoolbook" w:hAnsi="Century Schoolbook" w:cs="Calibri"/>
        </w:rPr>
        <w:t>”</w:t>
      </w:r>
      <w:r w:rsidR="005E51F3" w:rsidRPr="005E51F3">
        <w:rPr>
          <w:rStyle w:val="eop"/>
          <w:rFonts w:ascii="Century Schoolbook" w:hAnsi="Century Schoolbook" w:cs="Calibri"/>
        </w:rPr>
        <w:t xml:space="preserve"> </w:t>
      </w:r>
      <w:r w:rsidR="006D6347" w:rsidRPr="006D6347">
        <w:rPr>
          <w:rStyle w:val="eop"/>
          <w:rFonts w:ascii="Century Schoolbook" w:hAnsi="Century Schoolbook" w:cs="Calibri"/>
        </w:rPr>
        <w:t xml:space="preserve">were relevant to the court's </w:t>
      </w:r>
      <w:r w:rsidR="00D72A4C">
        <w:rPr>
          <w:rStyle w:val="eop"/>
          <w:rFonts w:ascii="Century Schoolbook" w:hAnsi="Century Schoolbook" w:cs="Calibri"/>
        </w:rPr>
        <w:t xml:space="preserve">“arising out of” </w:t>
      </w:r>
      <w:r w:rsidR="006D6347" w:rsidRPr="006D6347">
        <w:rPr>
          <w:rStyle w:val="eop"/>
          <w:rFonts w:ascii="Century Schoolbook" w:hAnsi="Century Schoolbook" w:cs="Calibri"/>
        </w:rPr>
        <w:t>analysis</w:t>
      </w:r>
      <w:r w:rsidR="005D04ED" w:rsidRPr="005D04ED">
        <w:rPr>
          <w:rStyle w:val="eop"/>
          <w:rFonts w:ascii="Century Schoolbook" w:hAnsi="Century Schoolbook" w:cs="Calibri"/>
        </w:rPr>
        <w:t>.</w:t>
      </w:r>
      <w:r w:rsidR="00614BFD">
        <w:rPr>
          <w:rStyle w:val="eop"/>
          <w:rFonts w:ascii="Century Schoolbook" w:hAnsi="Century Schoolbook" w:cs="Calibri"/>
        </w:rPr>
        <w:t xml:space="preserve"> The actual “arising out of” analysis is very brief.</w:t>
      </w:r>
      <w:r w:rsidR="002464FC">
        <w:rPr>
          <w:rStyle w:val="eop"/>
          <w:rFonts w:ascii="Century Schoolbook" w:hAnsi="Century Schoolbook" w:cs="Calibri"/>
        </w:rPr>
        <w:t xml:space="preserve"> </w:t>
      </w:r>
    </w:p>
    <w:p w14:paraId="1C3EEE39" w14:textId="77777777" w:rsidR="001056D2" w:rsidRDefault="001056D2" w:rsidP="009B62BC">
      <w:pPr>
        <w:pStyle w:val="paragraph"/>
        <w:spacing w:before="0" w:beforeAutospacing="0" w:after="0" w:afterAutospacing="0" w:line="480" w:lineRule="auto"/>
        <w:ind w:firstLine="720"/>
        <w:textAlignment w:val="baseline"/>
        <w:rPr>
          <w:rStyle w:val="eop"/>
          <w:rFonts w:ascii="Century Schoolbook" w:hAnsi="Century Schoolbook" w:cs="Calibri"/>
        </w:rPr>
      </w:pPr>
    </w:p>
    <w:p w14:paraId="559D904E" w14:textId="37D1AA8A" w:rsidR="00614BFD" w:rsidRDefault="002464FC" w:rsidP="009B62BC">
      <w:pPr>
        <w:pStyle w:val="paragraph"/>
        <w:spacing w:before="0" w:beforeAutospacing="0" w:after="0" w:afterAutospacing="0" w:line="480" w:lineRule="auto"/>
        <w:ind w:left="720"/>
        <w:textAlignment w:val="baseline"/>
        <w:rPr>
          <w:rStyle w:val="eop"/>
          <w:rFonts w:ascii="Century Schoolbook" w:hAnsi="Century Schoolbook" w:cs="Calibri"/>
        </w:rPr>
      </w:pPr>
      <w:r w:rsidRPr="002464FC">
        <w:rPr>
          <w:rStyle w:val="eop"/>
          <w:rFonts w:ascii="Century Schoolbook" w:hAnsi="Century Schoolbook" w:cs="Calibri"/>
        </w:rPr>
        <w:t xml:space="preserve">It is undisputed that Frett was injured when she slipped and fell on the wet floor of the breakroom on her employer's premises. It logically follows that her injury was causally connected to the conditions under which she worked, </w:t>
      </w:r>
      <w:r w:rsidRPr="002464FC">
        <w:rPr>
          <w:rStyle w:val="eop"/>
          <w:rFonts w:ascii="Century Schoolbook" w:hAnsi="Century Schoolbook" w:cs="Calibri"/>
        </w:rPr>
        <w:lastRenderedPageBreak/>
        <w:t xml:space="preserve">and her injury, therefore, 'arose out of' her employment." Frett v. State Farm Emp. Workers' Comp., </w:t>
      </w:r>
      <w:r w:rsidR="00E32688" w:rsidRPr="005B3D0D">
        <w:rPr>
          <w:rStyle w:val="eop"/>
          <w:rFonts w:ascii="Century Schoolbook" w:hAnsi="Century Schoolbook" w:cs="Calibri"/>
        </w:rPr>
        <w:t xml:space="preserve">844 S.E.2d </w:t>
      </w:r>
      <w:r w:rsidR="00E32688">
        <w:rPr>
          <w:rStyle w:val="eop"/>
          <w:rFonts w:ascii="Century Schoolbook" w:hAnsi="Century Schoolbook" w:cs="Calibri"/>
        </w:rPr>
        <w:t>at 754.</w:t>
      </w:r>
    </w:p>
    <w:p w14:paraId="4B260C4B" w14:textId="77777777" w:rsidR="00DC2830" w:rsidRDefault="00DC2830" w:rsidP="009B62BC">
      <w:pPr>
        <w:pStyle w:val="paragraph"/>
        <w:spacing w:before="0" w:beforeAutospacing="0" w:after="0" w:afterAutospacing="0" w:line="480" w:lineRule="auto"/>
        <w:textAlignment w:val="baseline"/>
        <w:rPr>
          <w:rStyle w:val="eop"/>
          <w:rFonts w:ascii="Century Schoolbook" w:hAnsi="Century Schoolbook" w:cs="Calibri"/>
        </w:rPr>
      </w:pPr>
    </w:p>
    <w:p w14:paraId="5A8D2167" w14:textId="62F8D57B" w:rsidR="00D74C75" w:rsidRDefault="00907705" w:rsidP="006D7945">
      <w:pPr>
        <w:pStyle w:val="paragraph"/>
        <w:spacing w:before="0" w:beforeAutospacing="0" w:after="0" w:afterAutospacing="0" w:line="480" w:lineRule="auto"/>
        <w:ind w:firstLine="720"/>
        <w:textAlignment w:val="baseline"/>
        <w:rPr>
          <w:rStyle w:val="eop"/>
          <w:rFonts w:ascii="Century Schoolbook" w:hAnsi="Century Schoolbook" w:cs="Calibri"/>
        </w:rPr>
      </w:pPr>
      <w:r>
        <w:rPr>
          <w:rStyle w:val="eop"/>
          <w:rFonts w:ascii="Century Schoolbook" w:hAnsi="Century Schoolbook" w:cs="Calibri"/>
        </w:rPr>
        <w:t xml:space="preserve">Although this was a very lengthy opinion, </w:t>
      </w:r>
      <w:r w:rsidR="00BE2F0F">
        <w:rPr>
          <w:rStyle w:val="eop"/>
          <w:rFonts w:ascii="Century Schoolbook" w:hAnsi="Century Schoolbook" w:cs="Calibri"/>
        </w:rPr>
        <w:t>the Court completed the “arising out of”</w:t>
      </w:r>
      <w:r>
        <w:rPr>
          <w:rStyle w:val="eop"/>
          <w:rFonts w:ascii="Century Schoolbook" w:hAnsi="Century Schoolbook" w:cs="Calibri"/>
        </w:rPr>
        <w:t xml:space="preserve"> </w:t>
      </w:r>
      <w:r w:rsidR="00BE2F0F">
        <w:rPr>
          <w:rStyle w:val="eop"/>
          <w:rFonts w:ascii="Century Schoolbook" w:hAnsi="Century Schoolbook" w:cs="Calibri"/>
        </w:rPr>
        <w:t xml:space="preserve">analysis </w:t>
      </w:r>
      <w:r w:rsidR="00526BF9">
        <w:rPr>
          <w:rStyle w:val="eop"/>
          <w:rFonts w:ascii="Century Schoolbook" w:hAnsi="Century Schoolbook" w:cs="Calibri"/>
        </w:rPr>
        <w:t xml:space="preserve">in two sentences. However, the reasoning is easy to follow. </w:t>
      </w:r>
      <w:r w:rsidR="00AD283E" w:rsidRPr="002B5E33">
        <w:rPr>
          <w:rStyle w:val="eop"/>
          <w:rFonts w:ascii="Century Schoolbook" w:hAnsi="Century Schoolbook" w:cs="Calibri"/>
        </w:rPr>
        <w:t xml:space="preserve">Under the </w:t>
      </w:r>
      <w:r w:rsidR="00AD283E">
        <w:rPr>
          <w:rStyle w:val="eop"/>
          <w:rFonts w:ascii="Century Schoolbook" w:hAnsi="Century Schoolbook" w:cs="Calibri"/>
        </w:rPr>
        <w:t xml:space="preserve">arising out of </w:t>
      </w:r>
      <w:r w:rsidR="00AD283E" w:rsidRPr="002B5E33">
        <w:rPr>
          <w:rStyle w:val="eop"/>
          <w:rFonts w:ascii="Century Schoolbook" w:hAnsi="Century Schoolbook" w:cs="Calibri"/>
        </w:rPr>
        <w:t>prong, an injury arises out of employment if it resulted from an exposure to a risk occasioned by the nature of the employment.</w:t>
      </w:r>
      <w:r w:rsidR="00526BF9">
        <w:rPr>
          <w:rStyle w:val="FootnoteReference"/>
          <w:rFonts w:ascii="Century Schoolbook" w:hAnsi="Century Schoolbook" w:cs="Calibri"/>
        </w:rPr>
        <w:footnoteReference w:id="20"/>
      </w:r>
      <w:r w:rsidR="00AD283E" w:rsidRPr="002B5E33">
        <w:rPr>
          <w:rStyle w:val="eop"/>
          <w:rFonts w:ascii="Century Schoolbook" w:hAnsi="Century Schoolbook" w:cs="Calibri"/>
        </w:rPr>
        <w:t xml:space="preserve">  </w:t>
      </w:r>
      <w:r w:rsidR="00DC2830">
        <w:rPr>
          <w:rStyle w:val="eop"/>
          <w:rFonts w:ascii="Century Schoolbook" w:hAnsi="Century Schoolbook" w:cs="Calibri"/>
        </w:rPr>
        <w:t xml:space="preserve">The wet floor is the origin of the risk which resulted in </w:t>
      </w:r>
      <w:r w:rsidR="00D450C4">
        <w:rPr>
          <w:rStyle w:val="eop"/>
          <w:rFonts w:ascii="Century Schoolbook" w:hAnsi="Century Schoolbook" w:cs="Calibri"/>
        </w:rPr>
        <w:t>Frett’s</w:t>
      </w:r>
      <w:r w:rsidR="00DC2830">
        <w:rPr>
          <w:rStyle w:val="eop"/>
          <w:rFonts w:ascii="Century Schoolbook" w:hAnsi="Century Schoolbook" w:cs="Calibri"/>
        </w:rPr>
        <w:t xml:space="preserve"> injury.</w:t>
      </w:r>
      <w:r w:rsidR="002C26F8">
        <w:rPr>
          <w:rStyle w:val="FootnoteReference"/>
          <w:rFonts w:ascii="Century Schoolbook" w:hAnsi="Century Schoolbook" w:cs="Calibri"/>
        </w:rPr>
        <w:footnoteReference w:id="21"/>
      </w:r>
      <w:r w:rsidR="004B40C3">
        <w:rPr>
          <w:rStyle w:val="eop"/>
          <w:rFonts w:ascii="Century Schoolbook" w:hAnsi="Century Schoolbook" w:cs="Calibri"/>
        </w:rPr>
        <w:t xml:space="preserve">  </w:t>
      </w:r>
      <w:r w:rsidR="0099151A">
        <w:rPr>
          <w:rStyle w:val="eop"/>
          <w:rFonts w:ascii="Century Schoolbook" w:hAnsi="Century Schoolbook" w:cs="Calibri"/>
        </w:rPr>
        <w:t>A wet floor is a danger that is inherent to Frett’s work environment.</w:t>
      </w:r>
      <w:r w:rsidR="00580E3A">
        <w:rPr>
          <w:rStyle w:val="eop"/>
          <w:rFonts w:ascii="Century Schoolbook" w:hAnsi="Century Schoolbook" w:cs="Calibri"/>
        </w:rPr>
        <w:t xml:space="preserve"> </w:t>
      </w:r>
      <w:r w:rsidR="000F7CD7">
        <w:rPr>
          <w:rStyle w:val="eop"/>
          <w:rFonts w:ascii="Century Schoolbook" w:hAnsi="Century Schoolbook" w:cs="Calibri"/>
        </w:rPr>
        <w:t>Therefore, the causal connection between the injury and the work is clearly established.</w:t>
      </w:r>
    </w:p>
    <w:p w14:paraId="5CE96AC5" w14:textId="506A58CA" w:rsidR="0097301E" w:rsidRDefault="006D7945" w:rsidP="00064C8D">
      <w:pPr>
        <w:pStyle w:val="paragraph"/>
        <w:spacing w:before="0" w:beforeAutospacing="0" w:after="0" w:afterAutospacing="0" w:line="480" w:lineRule="auto"/>
        <w:textAlignment w:val="baseline"/>
        <w:rPr>
          <w:rStyle w:val="eop"/>
          <w:rFonts w:ascii="Century Schoolbook" w:hAnsi="Century Schoolbook" w:cs="Calibri"/>
        </w:rPr>
      </w:pPr>
      <w:r>
        <w:rPr>
          <w:rStyle w:val="eop"/>
          <w:rFonts w:ascii="Century Schoolbook" w:hAnsi="Century Schoolbook" w:cs="Calibri"/>
        </w:rPr>
        <w:tab/>
      </w:r>
      <w:r w:rsidR="00CB0EF8" w:rsidRPr="00CB0EF8">
        <w:rPr>
          <w:rStyle w:val="eop"/>
          <w:rFonts w:ascii="Century Schoolbook" w:hAnsi="Century Schoolbook" w:cs="Calibri"/>
        </w:rPr>
        <w:t xml:space="preserve">As a practical point, this analysis should always start by identifying the actual risk or harm that caused the injury. Next, one should ask if the risk is employment related. </w:t>
      </w:r>
      <w:r w:rsidR="00625BBC">
        <w:rPr>
          <w:rStyle w:val="eop"/>
          <w:rFonts w:ascii="Century Schoolbook" w:hAnsi="Century Schoolbook" w:cs="Calibri"/>
        </w:rPr>
        <w:t xml:space="preserve">Under most facts, </w:t>
      </w:r>
      <w:r>
        <w:rPr>
          <w:rStyle w:val="eop"/>
          <w:rFonts w:ascii="Century Schoolbook" w:hAnsi="Century Schoolbook" w:cs="Calibri"/>
        </w:rPr>
        <w:t>on-premises lunchtime injuries will arise out of employment.</w:t>
      </w:r>
      <w:r w:rsidR="00122A8D">
        <w:rPr>
          <w:rStyle w:val="eop"/>
          <w:rFonts w:ascii="Century Schoolbook" w:hAnsi="Century Schoolbook" w:cs="Calibri"/>
        </w:rPr>
        <w:t xml:space="preserve"> </w:t>
      </w:r>
      <w:r w:rsidR="00CB0EF8">
        <w:rPr>
          <w:rStyle w:val="eop"/>
          <w:rFonts w:ascii="Century Schoolbook" w:hAnsi="Century Schoolbook" w:cs="Calibri"/>
        </w:rPr>
        <w:t xml:space="preserve">Most injuries are caused by risks </w:t>
      </w:r>
      <w:r w:rsidR="000136AE">
        <w:rPr>
          <w:rStyle w:val="eop"/>
          <w:rFonts w:ascii="Century Schoolbook" w:hAnsi="Century Schoolbook" w:cs="Calibri"/>
        </w:rPr>
        <w:t>“</w:t>
      </w:r>
      <w:r w:rsidR="00CB0EF8">
        <w:rPr>
          <w:rStyle w:val="eop"/>
          <w:rFonts w:ascii="Century Schoolbook" w:hAnsi="Century Schoolbook" w:cs="Calibri"/>
        </w:rPr>
        <w:t>inherent</w:t>
      </w:r>
      <w:r w:rsidR="000136AE">
        <w:rPr>
          <w:rStyle w:val="eop"/>
          <w:rFonts w:ascii="Century Schoolbook" w:hAnsi="Century Schoolbook" w:cs="Calibri"/>
        </w:rPr>
        <w:t>”</w:t>
      </w:r>
      <w:r w:rsidR="00CB0EF8">
        <w:rPr>
          <w:rStyle w:val="eop"/>
          <w:rFonts w:ascii="Century Schoolbook" w:hAnsi="Century Schoolbook" w:cs="Calibri"/>
        </w:rPr>
        <w:t xml:space="preserve"> to the work environment, such as a wet floor, lifting a heavy box, an item falling off a shelf, </w:t>
      </w:r>
      <w:r w:rsidR="00617DE3">
        <w:rPr>
          <w:rStyle w:val="eop"/>
          <w:rFonts w:ascii="Century Schoolbook" w:hAnsi="Century Schoolbook" w:cs="Calibri"/>
        </w:rPr>
        <w:t>etc.</w:t>
      </w:r>
      <w:r w:rsidR="00CB626E" w:rsidRPr="006768A5">
        <w:rPr>
          <w:rFonts w:ascii="Century Schoolbook" w:hAnsi="Century Schoolbook"/>
        </w:rPr>
        <w:t xml:space="preserve"> </w:t>
      </w:r>
      <w:r w:rsidR="00CB626E">
        <w:rPr>
          <w:rFonts w:ascii="Century Schoolbook" w:hAnsi="Century Schoolbook"/>
        </w:rPr>
        <w:t>I</w:t>
      </w:r>
      <w:r w:rsidR="00CB626E" w:rsidRPr="006768A5">
        <w:rPr>
          <w:rStyle w:val="eop"/>
          <w:rFonts w:ascii="Century Schoolbook" w:hAnsi="Century Schoolbook" w:cs="Calibri"/>
        </w:rPr>
        <w:t>t will generally be the rule that lunchtime injuries are</w:t>
      </w:r>
      <w:r w:rsidR="00CB626E">
        <w:rPr>
          <w:rStyle w:val="eop"/>
          <w:rFonts w:ascii="Century Schoolbook" w:hAnsi="Century Schoolbook" w:cs="Calibri"/>
        </w:rPr>
        <w:t xml:space="preserve"> covered while the claimant remains on his employer’s premises.</w:t>
      </w:r>
    </w:p>
    <w:p w14:paraId="7F22C29F" w14:textId="3946CE76" w:rsidR="00064C8D" w:rsidRDefault="00122A8D" w:rsidP="00732951">
      <w:pPr>
        <w:pStyle w:val="paragraph"/>
        <w:spacing w:before="0" w:beforeAutospacing="0" w:after="0" w:afterAutospacing="0" w:line="480" w:lineRule="auto"/>
        <w:ind w:firstLine="720"/>
        <w:textAlignment w:val="baseline"/>
        <w:rPr>
          <w:rStyle w:val="eop"/>
          <w:rFonts w:ascii="Century Schoolbook" w:hAnsi="Century Schoolbook" w:cs="Calibri"/>
        </w:rPr>
      </w:pPr>
      <w:r>
        <w:rPr>
          <w:rStyle w:val="eop"/>
          <w:rFonts w:ascii="Century Schoolbook" w:hAnsi="Century Schoolbook" w:cs="Calibri"/>
        </w:rPr>
        <w:lastRenderedPageBreak/>
        <w:t xml:space="preserve">The exception may be if a </w:t>
      </w:r>
      <w:r w:rsidR="00321F03">
        <w:rPr>
          <w:rStyle w:val="eop"/>
          <w:rFonts w:ascii="Century Schoolbook" w:hAnsi="Century Schoolbook" w:cs="Calibri"/>
        </w:rPr>
        <w:t>“</w:t>
      </w:r>
      <w:r w:rsidR="00321F03" w:rsidRPr="006768A5">
        <w:rPr>
          <w:rStyle w:val="eop"/>
          <w:rFonts w:ascii="Century Schoolbook" w:hAnsi="Century Schoolbook" w:cs="Calibri"/>
        </w:rPr>
        <w:t>personal risk”</w:t>
      </w:r>
      <w:r w:rsidR="00EC7548" w:rsidRPr="006768A5">
        <w:rPr>
          <w:rStyle w:val="eop"/>
          <w:rFonts w:ascii="Century Schoolbook" w:hAnsi="Century Schoolbook" w:cs="Calibri"/>
        </w:rPr>
        <w:t xml:space="preserve"> </w:t>
      </w:r>
      <w:r w:rsidR="00321F03" w:rsidRPr="006768A5">
        <w:rPr>
          <w:rStyle w:val="eop"/>
          <w:rFonts w:ascii="Century Schoolbook" w:hAnsi="Century Schoolbook" w:cs="Calibri"/>
        </w:rPr>
        <w:t>is the cause of an injury during lunchtime.</w:t>
      </w:r>
      <w:r w:rsidR="00EB7502" w:rsidRPr="006768A5">
        <w:rPr>
          <w:rStyle w:val="eop"/>
          <w:rFonts w:ascii="Century Schoolbook" w:hAnsi="Century Schoolbook" w:cs="Calibri"/>
        </w:rPr>
        <w:t xml:space="preserve">  For instance, if the claimant has a truly idiopathic fall.</w:t>
      </w:r>
      <w:r w:rsidR="00C17760" w:rsidRPr="006768A5">
        <w:rPr>
          <w:rStyle w:val="eop"/>
          <w:rFonts w:ascii="Century Schoolbook" w:hAnsi="Century Schoolbook" w:cs="Calibri"/>
        </w:rPr>
        <w:t xml:space="preserve"> </w:t>
      </w:r>
      <w:r w:rsidR="006768A5" w:rsidRPr="006768A5">
        <w:rPr>
          <w:rFonts w:ascii="Century Schoolbook" w:hAnsi="Century Schoolbook"/>
        </w:rPr>
        <w:t xml:space="preserve">Of course, “personal risk” </w:t>
      </w:r>
      <w:r w:rsidR="006768A5">
        <w:rPr>
          <w:rFonts w:ascii="Century Schoolbook" w:hAnsi="Century Schoolbook"/>
        </w:rPr>
        <w:t xml:space="preserve">type </w:t>
      </w:r>
      <w:r w:rsidR="006768A5" w:rsidRPr="006768A5">
        <w:rPr>
          <w:rFonts w:ascii="Century Schoolbook" w:hAnsi="Century Schoolbook"/>
        </w:rPr>
        <w:t xml:space="preserve">cases can still arise out of employment, but it requires a more </w:t>
      </w:r>
      <w:r w:rsidR="009D2CE8" w:rsidRPr="006768A5">
        <w:rPr>
          <w:rFonts w:ascii="Century Schoolbook" w:hAnsi="Century Schoolbook"/>
        </w:rPr>
        <w:t>in-depth</w:t>
      </w:r>
      <w:r w:rsidR="006768A5" w:rsidRPr="006768A5">
        <w:rPr>
          <w:rFonts w:ascii="Century Schoolbook" w:hAnsi="Century Schoolbook"/>
        </w:rPr>
        <w:t xml:space="preserve"> analysis and application of one of Georgia’s “risk doctrines”. For example, if the fall is on a stairway or into a machine or against anything except the bare floor, and especially if the fall is from a </w:t>
      </w:r>
      <w:r w:rsidR="00617DE3" w:rsidRPr="006768A5">
        <w:rPr>
          <w:rFonts w:ascii="Century Schoolbook" w:hAnsi="Century Schoolbook"/>
        </w:rPr>
        <w:t>height, the</w:t>
      </w:r>
      <w:r w:rsidR="006768A5" w:rsidRPr="006768A5">
        <w:rPr>
          <w:rFonts w:ascii="Century Schoolbook" w:hAnsi="Century Schoolbook"/>
        </w:rPr>
        <w:t xml:space="preserve"> risk of injury is </w:t>
      </w:r>
      <w:r w:rsidR="006768A5" w:rsidRPr="006768A5">
        <w:rPr>
          <w:rFonts w:ascii="Century Schoolbook" w:hAnsi="Century Schoolbook"/>
          <w:i/>
          <w:iCs/>
        </w:rPr>
        <w:t>increased</w:t>
      </w:r>
      <w:r w:rsidR="006768A5" w:rsidRPr="006768A5">
        <w:rPr>
          <w:rFonts w:ascii="Century Schoolbook" w:hAnsi="Century Schoolbook"/>
        </w:rPr>
        <w:t>, or is a special danger of the employment</w:t>
      </w:r>
      <w:r w:rsidR="009D2CE8">
        <w:rPr>
          <w:rFonts w:ascii="Century Schoolbook" w:hAnsi="Century Schoolbook"/>
        </w:rPr>
        <w:t>.</w:t>
      </w:r>
      <w:r w:rsidR="009D2CE8">
        <w:rPr>
          <w:rStyle w:val="FootnoteReference"/>
          <w:rFonts w:ascii="Century Schoolbook" w:hAnsi="Century Schoolbook"/>
        </w:rPr>
        <w:footnoteReference w:id="22"/>
      </w:r>
      <w:r w:rsidR="009D2CE8">
        <w:rPr>
          <w:rFonts w:ascii="Century Schoolbook" w:hAnsi="Century Schoolbook"/>
        </w:rPr>
        <w:t xml:space="preserve"> </w:t>
      </w:r>
      <w:r w:rsidR="0087729C">
        <w:rPr>
          <w:rStyle w:val="eop"/>
          <w:rFonts w:ascii="Century Schoolbook" w:hAnsi="Century Schoolbook" w:cs="Calibri"/>
        </w:rPr>
        <w:t>This</w:t>
      </w:r>
      <w:r w:rsidR="00606DB4">
        <w:rPr>
          <w:rStyle w:val="eop"/>
          <w:rFonts w:ascii="Century Schoolbook" w:hAnsi="Century Schoolbook" w:cs="Calibri"/>
        </w:rPr>
        <w:t xml:space="preserve"> is </w:t>
      </w:r>
      <w:r w:rsidR="009C529E">
        <w:rPr>
          <w:rStyle w:val="eop"/>
          <w:rFonts w:ascii="Century Schoolbook" w:hAnsi="Century Schoolbook" w:cs="Calibri"/>
        </w:rPr>
        <w:t xml:space="preserve">the same basic </w:t>
      </w:r>
      <w:r w:rsidR="0087729C">
        <w:rPr>
          <w:rStyle w:val="eop"/>
          <w:rFonts w:ascii="Century Schoolbook" w:hAnsi="Century Schoolbook" w:cs="Calibri"/>
        </w:rPr>
        <w:t>“</w:t>
      </w:r>
      <w:r w:rsidR="009C529E">
        <w:rPr>
          <w:rStyle w:val="eop"/>
          <w:rFonts w:ascii="Century Schoolbook" w:hAnsi="Century Schoolbook" w:cs="Calibri"/>
        </w:rPr>
        <w:t xml:space="preserve">arising out of employment </w:t>
      </w:r>
      <w:r w:rsidR="00020A3B">
        <w:rPr>
          <w:rStyle w:val="eop"/>
          <w:rFonts w:ascii="Century Schoolbook" w:hAnsi="Century Schoolbook" w:cs="Calibri"/>
        </w:rPr>
        <w:t>analysis</w:t>
      </w:r>
      <w:r w:rsidR="0087729C">
        <w:rPr>
          <w:rStyle w:val="eop"/>
          <w:rFonts w:ascii="Century Schoolbook" w:hAnsi="Century Schoolbook" w:cs="Calibri"/>
        </w:rPr>
        <w:t>”</w:t>
      </w:r>
      <w:r w:rsidR="00020A3B">
        <w:rPr>
          <w:rStyle w:val="eop"/>
          <w:rFonts w:ascii="Century Schoolbook" w:hAnsi="Century Schoolbook" w:cs="Calibri"/>
        </w:rPr>
        <w:t xml:space="preserve"> that would be performed under any other fact pattern.</w:t>
      </w:r>
      <w:r w:rsidR="00CB0EF8">
        <w:rPr>
          <w:rStyle w:val="eop"/>
          <w:rFonts w:ascii="Century Schoolbook" w:hAnsi="Century Schoolbook" w:cs="Calibri"/>
        </w:rPr>
        <w:t xml:space="preserve"> </w:t>
      </w:r>
    </w:p>
    <w:p w14:paraId="1ABE3CDB" w14:textId="57B680AC" w:rsidR="00625BBC" w:rsidRDefault="00D064DF" w:rsidP="00064C8D">
      <w:pPr>
        <w:pStyle w:val="paragraph"/>
        <w:spacing w:before="0" w:beforeAutospacing="0" w:after="0" w:afterAutospacing="0" w:line="480" w:lineRule="auto"/>
        <w:textAlignment w:val="baseline"/>
        <w:rPr>
          <w:rStyle w:val="eop"/>
          <w:rFonts w:ascii="Century Schoolbook" w:hAnsi="Century Schoolbook" w:cs="Calibri"/>
        </w:rPr>
      </w:pPr>
      <w:r>
        <w:rPr>
          <w:rStyle w:val="eop"/>
          <w:rFonts w:ascii="Century Schoolbook" w:hAnsi="Century Schoolbook" w:cs="Calibri"/>
        </w:rPr>
        <w:tab/>
      </w:r>
    </w:p>
    <w:p w14:paraId="7BD3522F" w14:textId="783F0995" w:rsidR="00D74C75" w:rsidRPr="00FD7FD9" w:rsidRDefault="00FD7FD9" w:rsidP="00D74C75">
      <w:pPr>
        <w:pStyle w:val="paragraph"/>
        <w:spacing w:before="0" w:beforeAutospacing="0" w:after="0" w:afterAutospacing="0" w:line="480" w:lineRule="auto"/>
        <w:textAlignment w:val="baseline"/>
        <w:rPr>
          <w:rStyle w:val="eop"/>
          <w:rFonts w:ascii="Century Schoolbook" w:hAnsi="Century Schoolbook" w:cs="Calibri"/>
          <w:spacing w:val="20"/>
        </w:rPr>
      </w:pPr>
      <w:r w:rsidRPr="00FD7FD9">
        <w:rPr>
          <w:rStyle w:val="normaltextrun"/>
          <w:rFonts w:ascii="Century Schoolbook" w:hAnsi="Century Schoolbook" w:cs="Calibri"/>
          <w:spacing w:val="20"/>
        </w:rPr>
        <w:t>IS THE SCHEDULED BREAK DEFENSE OFFICIALLY “DEAD”?</w:t>
      </w:r>
      <w:r w:rsidRPr="00FD7FD9">
        <w:rPr>
          <w:rStyle w:val="eop"/>
          <w:rFonts w:ascii="Century Schoolbook" w:hAnsi="Century Schoolbook" w:cs="Calibri"/>
          <w:spacing w:val="20"/>
        </w:rPr>
        <w:t> </w:t>
      </w:r>
    </w:p>
    <w:p w14:paraId="12C7C2CD" w14:textId="77777777" w:rsidR="00022A4B" w:rsidRPr="00F72045" w:rsidRDefault="00022A4B" w:rsidP="00D74C75">
      <w:pPr>
        <w:pStyle w:val="paragraph"/>
        <w:spacing w:before="0" w:beforeAutospacing="0" w:after="0" w:afterAutospacing="0" w:line="480" w:lineRule="auto"/>
        <w:textAlignment w:val="baseline"/>
        <w:rPr>
          <w:rFonts w:ascii="Century Schoolbook" w:hAnsi="Century Schoolbook" w:cs="Segoe UI"/>
          <w:b/>
          <w:bCs/>
        </w:rPr>
      </w:pPr>
    </w:p>
    <w:p w14:paraId="26E7D827" w14:textId="7CABF942" w:rsidR="00022A4B" w:rsidRPr="00614B4B" w:rsidRDefault="00D74C75" w:rsidP="00D321DC">
      <w:pPr>
        <w:pStyle w:val="paragraph"/>
        <w:spacing w:before="0" w:beforeAutospacing="0" w:after="0" w:afterAutospacing="0" w:line="480" w:lineRule="auto"/>
        <w:ind w:firstLine="720"/>
        <w:textAlignment w:val="baseline"/>
        <w:rPr>
          <w:rStyle w:val="eop"/>
          <w:rFonts w:ascii="Century Schoolbook" w:hAnsi="Century Schoolbook" w:cs="Calibri"/>
        </w:rPr>
      </w:pPr>
      <w:r w:rsidRPr="00614B4B">
        <w:rPr>
          <w:rStyle w:val="normaltextrun"/>
          <w:rFonts w:ascii="Century Schoolbook" w:hAnsi="Century Schoolbook" w:cs="Calibri"/>
        </w:rPr>
        <w:t xml:space="preserve">Yes, the “scheduled break” defense </w:t>
      </w:r>
      <w:r w:rsidR="00353E21">
        <w:rPr>
          <w:rStyle w:val="normaltextrun"/>
          <w:rFonts w:ascii="Century Schoolbook" w:hAnsi="Century Schoolbook" w:cs="Calibri"/>
        </w:rPr>
        <w:t>is no more.</w:t>
      </w:r>
    </w:p>
    <w:p w14:paraId="7DA9E245" w14:textId="585DE710" w:rsidR="00775C31" w:rsidRPr="00614B4B" w:rsidRDefault="0002514A" w:rsidP="00A37500">
      <w:pPr>
        <w:pStyle w:val="paragraph"/>
        <w:spacing w:after="0" w:line="480" w:lineRule="auto"/>
        <w:ind w:firstLine="720"/>
        <w:textAlignment w:val="baseline"/>
        <w:rPr>
          <w:rStyle w:val="eop"/>
          <w:rFonts w:ascii="Century Schoolbook" w:hAnsi="Century Schoolbook" w:cs="Calibri"/>
        </w:rPr>
      </w:pPr>
      <w:r w:rsidRPr="00614B4B">
        <w:rPr>
          <w:rStyle w:val="eop"/>
          <w:rFonts w:ascii="Century Schoolbook" w:hAnsi="Century Schoolbook" w:cs="Calibri"/>
        </w:rPr>
        <w:t xml:space="preserve">Of course, an employer can still argue that an employee </w:t>
      </w:r>
      <w:r w:rsidR="00D321DC" w:rsidRPr="00614B4B">
        <w:rPr>
          <w:rStyle w:val="eop"/>
          <w:rFonts w:ascii="Century Schoolbook" w:hAnsi="Century Schoolbook" w:cs="Calibri"/>
        </w:rPr>
        <w:t>who is injured during</w:t>
      </w:r>
      <w:r w:rsidR="007E0C71" w:rsidRPr="00614B4B">
        <w:rPr>
          <w:rStyle w:val="eop"/>
          <w:rFonts w:ascii="Century Schoolbook" w:hAnsi="Century Schoolbook" w:cs="Calibri"/>
        </w:rPr>
        <w:t xml:space="preserve"> a “</w:t>
      </w:r>
      <w:r w:rsidR="00D321DC" w:rsidRPr="00614B4B">
        <w:rPr>
          <w:rStyle w:val="eop"/>
          <w:rFonts w:ascii="Century Schoolbook" w:hAnsi="Century Schoolbook" w:cs="Calibri"/>
        </w:rPr>
        <w:t xml:space="preserve">purely </w:t>
      </w:r>
      <w:r w:rsidR="007E0C71" w:rsidRPr="00614B4B">
        <w:rPr>
          <w:rStyle w:val="eop"/>
          <w:rFonts w:ascii="Century Schoolbook" w:hAnsi="Century Schoolbook" w:cs="Calibri"/>
        </w:rPr>
        <w:t>personal mission” has stepped</w:t>
      </w:r>
      <w:r w:rsidR="00CE6F3A">
        <w:rPr>
          <w:rStyle w:val="eop"/>
          <w:rFonts w:ascii="Century Schoolbook" w:hAnsi="Century Schoolbook" w:cs="Calibri"/>
        </w:rPr>
        <w:t xml:space="preserve"> away</w:t>
      </w:r>
      <w:r w:rsidR="007E0C71" w:rsidRPr="00614B4B">
        <w:rPr>
          <w:rStyle w:val="eop"/>
          <w:rFonts w:ascii="Century Schoolbook" w:hAnsi="Century Schoolbook" w:cs="Calibri"/>
        </w:rPr>
        <w:t xml:space="preserve"> from his employment, and therefore not eligible to receive workers compensation benefits.</w:t>
      </w:r>
      <w:r w:rsidR="00022A4B" w:rsidRPr="00614B4B">
        <w:rPr>
          <w:rStyle w:val="eop"/>
          <w:rFonts w:ascii="Century Schoolbook" w:hAnsi="Century Schoolbook" w:cs="Calibri"/>
        </w:rPr>
        <w:t xml:space="preserve">  However, this is an argument that the employee has left the “course of employment”.</w:t>
      </w:r>
      <w:r w:rsidR="006F1FC2" w:rsidRPr="00614B4B">
        <w:rPr>
          <w:rStyle w:val="eop"/>
          <w:rFonts w:ascii="Century Schoolbook" w:hAnsi="Century Schoolbook" w:cs="Calibri"/>
        </w:rPr>
        <w:t xml:space="preserve"> For example, in </w:t>
      </w:r>
      <w:r w:rsidR="006F1FC2" w:rsidRPr="00D731EA">
        <w:rPr>
          <w:rStyle w:val="eop"/>
          <w:rFonts w:ascii="Century Schoolbook" w:hAnsi="Century Schoolbook" w:cs="Calibri"/>
          <w:i/>
          <w:iCs/>
        </w:rPr>
        <w:t>Skinner</w:t>
      </w:r>
      <w:r w:rsidR="006F1FC2" w:rsidRPr="00614B4B">
        <w:rPr>
          <w:rStyle w:val="eop"/>
          <w:rFonts w:ascii="Century Schoolbook" w:hAnsi="Century Schoolbook" w:cs="Calibri"/>
        </w:rPr>
        <w:t>, 188 Ga. 823, t</w:t>
      </w:r>
      <w:r w:rsidR="00BE19FA" w:rsidRPr="00614B4B">
        <w:rPr>
          <w:rStyle w:val="eop"/>
          <w:rFonts w:ascii="Century Schoolbook" w:hAnsi="Century Schoolbook" w:cs="Calibri"/>
        </w:rPr>
        <w:t xml:space="preserve">he </w:t>
      </w:r>
      <w:r w:rsidR="006F1FC2" w:rsidRPr="00614B4B">
        <w:rPr>
          <w:rStyle w:val="eop"/>
          <w:rFonts w:ascii="Century Schoolbook" w:hAnsi="Century Schoolbook" w:cs="Calibri"/>
        </w:rPr>
        <w:t xml:space="preserve">Claimant </w:t>
      </w:r>
      <w:r w:rsidR="00BE19FA" w:rsidRPr="00614B4B">
        <w:rPr>
          <w:rStyle w:val="eop"/>
          <w:rFonts w:ascii="Century Schoolbook" w:hAnsi="Century Schoolbook" w:cs="Calibri"/>
        </w:rPr>
        <w:t xml:space="preserve">took an 18-mile detour (permitted by his employer) to Tybee Island for the personal purpose of eating seafood and seeing the ocean. </w:t>
      </w:r>
      <w:r w:rsidR="00A37500" w:rsidRPr="00614B4B">
        <w:rPr>
          <w:rStyle w:val="eop"/>
          <w:rFonts w:ascii="Century Schoolbook" w:hAnsi="Century Schoolbook" w:cs="Calibri"/>
        </w:rPr>
        <w:t>T</w:t>
      </w:r>
      <w:r w:rsidR="00BE19FA" w:rsidRPr="00614B4B">
        <w:rPr>
          <w:rStyle w:val="eop"/>
          <w:rFonts w:ascii="Century Schoolbook" w:hAnsi="Century Schoolbook" w:cs="Calibri"/>
        </w:rPr>
        <w:t>he "pivotal question" in the case was whether the employee was "acting in the course of his employment" at the time of the accident.</w:t>
      </w:r>
    </w:p>
    <w:p w14:paraId="2CED187D" w14:textId="74D9023C" w:rsidR="00FD7FD9" w:rsidRDefault="008E08D3" w:rsidP="00616F35">
      <w:pPr>
        <w:pStyle w:val="paragraph"/>
        <w:spacing w:before="0" w:beforeAutospacing="0" w:after="0" w:afterAutospacing="0" w:line="480" w:lineRule="auto"/>
        <w:ind w:firstLine="720"/>
        <w:textAlignment w:val="baseline"/>
        <w:rPr>
          <w:rFonts w:ascii="Century Schoolbook" w:hAnsi="Century Schoolbook" w:cs="Segoe UI"/>
          <w:b/>
          <w:bCs/>
        </w:rPr>
      </w:pPr>
      <w:r w:rsidRPr="00614B4B">
        <w:rPr>
          <w:rStyle w:val="eop"/>
          <w:rFonts w:ascii="Century Schoolbook" w:hAnsi="Century Schoolbook" w:cs="Calibri"/>
        </w:rPr>
        <w:lastRenderedPageBreak/>
        <w:t>The abolished “scheduled break” defense</w:t>
      </w:r>
      <w:r w:rsidR="001C6FA2" w:rsidRPr="00614B4B">
        <w:rPr>
          <w:rStyle w:val="eop"/>
          <w:rFonts w:ascii="Century Schoolbook" w:hAnsi="Century Schoolbook" w:cs="Calibri"/>
        </w:rPr>
        <w:t xml:space="preserve"> was</w:t>
      </w:r>
      <w:r w:rsidR="00A37500" w:rsidRPr="00614B4B">
        <w:rPr>
          <w:rStyle w:val="eop"/>
          <w:rFonts w:ascii="Century Schoolbook" w:hAnsi="Century Schoolbook" w:cs="Calibri"/>
        </w:rPr>
        <w:t xml:space="preserve"> incorrectly</w:t>
      </w:r>
      <w:r w:rsidR="001C6FA2" w:rsidRPr="00614B4B">
        <w:rPr>
          <w:rStyle w:val="eop"/>
          <w:rFonts w:ascii="Century Schoolbook" w:hAnsi="Century Schoolbook" w:cs="Calibri"/>
        </w:rPr>
        <w:t xml:space="preserve"> applied to the “arising out of” employment prong</w:t>
      </w:r>
      <w:r w:rsidR="00BB4AB5">
        <w:rPr>
          <w:rStyle w:val="eop"/>
          <w:rFonts w:ascii="Century Schoolbook" w:hAnsi="Century Schoolbook" w:cs="Calibri"/>
        </w:rPr>
        <w:t xml:space="preserve"> of the coverage question.</w:t>
      </w:r>
      <w:r w:rsidR="001537C9" w:rsidRPr="00614B4B">
        <w:rPr>
          <w:rStyle w:val="eop"/>
          <w:rFonts w:ascii="Century Schoolbook" w:hAnsi="Century Schoolbook" w:cs="Calibri"/>
        </w:rPr>
        <w:t xml:space="preserve"> </w:t>
      </w:r>
      <w:r w:rsidR="00025BEE" w:rsidRPr="00614B4B">
        <w:rPr>
          <w:rStyle w:val="eop"/>
          <w:rFonts w:ascii="Century Schoolbook" w:hAnsi="Century Schoolbook" w:cs="Calibri"/>
        </w:rPr>
        <w:t xml:space="preserve"> </w:t>
      </w:r>
      <w:r w:rsidR="00125DFB" w:rsidRPr="00614B4B">
        <w:rPr>
          <w:rFonts w:ascii="Century Schoolbook" w:hAnsi="Century Schoolbook"/>
        </w:rPr>
        <w:t xml:space="preserve">It is incorrect, according to the </w:t>
      </w:r>
      <w:r w:rsidR="00125DFB" w:rsidRPr="00F660B3">
        <w:rPr>
          <w:rFonts w:ascii="Century Schoolbook" w:hAnsi="Century Schoolbook"/>
          <w:i/>
          <w:iCs/>
        </w:rPr>
        <w:t>Frett</w:t>
      </w:r>
      <w:r w:rsidR="00125DFB" w:rsidRPr="00614B4B">
        <w:rPr>
          <w:rFonts w:ascii="Century Schoolbook" w:hAnsi="Century Schoolbook"/>
        </w:rPr>
        <w:t xml:space="preserve"> Court, to interpret the “arising out of” law as requiring an employee to </w:t>
      </w:r>
      <w:r w:rsidR="007F369D">
        <w:rPr>
          <w:rFonts w:ascii="Century Schoolbook" w:hAnsi="Century Schoolbook"/>
        </w:rPr>
        <w:t>be acting in furtherance of job duties.</w:t>
      </w:r>
    </w:p>
    <w:p w14:paraId="3713C63D" w14:textId="422552FA" w:rsidR="00FF24A3" w:rsidRPr="00FD7FD9" w:rsidRDefault="00331D6E" w:rsidP="00331D6E">
      <w:pPr>
        <w:pStyle w:val="paragraph"/>
        <w:spacing w:before="0" w:beforeAutospacing="0" w:after="0" w:afterAutospacing="0" w:line="480" w:lineRule="auto"/>
        <w:jc w:val="center"/>
        <w:textAlignment w:val="baseline"/>
        <w:rPr>
          <w:rFonts w:ascii="Century Schoolbook" w:hAnsi="Century Schoolbook" w:cs="Segoe UI"/>
          <w:spacing w:val="20"/>
        </w:rPr>
      </w:pPr>
      <w:r w:rsidRPr="00FD7FD9">
        <w:rPr>
          <w:rFonts w:ascii="Century Schoolbook" w:hAnsi="Century Schoolbook" w:cs="Segoe UI"/>
          <w:spacing w:val="20"/>
        </w:rPr>
        <w:t>NEW ISSUES FOLLOWING FRETT VS STATE FARM</w:t>
      </w:r>
    </w:p>
    <w:p w14:paraId="3089380F" w14:textId="77777777" w:rsidR="00331D6E" w:rsidRDefault="00331D6E" w:rsidP="00331D6E">
      <w:pPr>
        <w:pStyle w:val="paragraph"/>
        <w:spacing w:before="0" w:beforeAutospacing="0" w:after="0" w:afterAutospacing="0" w:line="480" w:lineRule="auto"/>
        <w:textAlignment w:val="baseline"/>
        <w:rPr>
          <w:rFonts w:ascii="Century Schoolbook" w:hAnsi="Century Schoolbook" w:cs="Segoe UI"/>
        </w:rPr>
      </w:pPr>
    </w:p>
    <w:p w14:paraId="2A33E4E7" w14:textId="5712E985" w:rsidR="00331D6E" w:rsidRDefault="00331D6E" w:rsidP="00331D6E">
      <w:pPr>
        <w:pStyle w:val="paragraph"/>
        <w:spacing w:before="0" w:beforeAutospacing="0" w:after="0" w:afterAutospacing="0" w:line="480" w:lineRule="auto"/>
        <w:textAlignment w:val="baseline"/>
        <w:rPr>
          <w:rFonts w:ascii="Century Schoolbook" w:hAnsi="Century Schoolbook" w:cs="Segoe UI"/>
        </w:rPr>
      </w:pPr>
      <w:r>
        <w:rPr>
          <w:rFonts w:ascii="Century Schoolbook" w:hAnsi="Century Schoolbook" w:cs="Segoe UI"/>
        </w:rPr>
        <w:t xml:space="preserve">The </w:t>
      </w:r>
      <w:r w:rsidRPr="009E7340">
        <w:rPr>
          <w:rFonts w:ascii="Century Schoolbook" w:hAnsi="Century Schoolbook" w:cs="Segoe UI"/>
          <w:i/>
          <w:iCs/>
        </w:rPr>
        <w:t>Frett</w:t>
      </w:r>
      <w:r>
        <w:rPr>
          <w:rFonts w:ascii="Century Schoolbook" w:hAnsi="Century Schoolbook" w:cs="Segoe UI"/>
        </w:rPr>
        <w:t xml:space="preserve"> case left some open questions about injuries that occur on a </w:t>
      </w:r>
      <w:r w:rsidR="008F0970">
        <w:rPr>
          <w:rFonts w:ascii="Century Schoolbook" w:hAnsi="Century Schoolbook" w:cs="Segoe UI"/>
        </w:rPr>
        <w:t>scheduled break</w:t>
      </w:r>
      <w:r>
        <w:rPr>
          <w:rFonts w:ascii="Century Schoolbook" w:hAnsi="Century Schoolbook" w:cs="Segoe UI"/>
        </w:rPr>
        <w:t>. The court’s ruling was limited to the</w:t>
      </w:r>
      <w:r w:rsidR="008F0970">
        <w:rPr>
          <w:rFonts w:ascii="Century Schoolbook" w:hAnsi="Century Schoolbook" w:cs="Segoe UI"/>
        </w:rPr>
        <w:t xml:space="preserve"> factual</w:t>
      </w:r>
      <w:r>
        <w:rPr>
          <w:rFonts w:ascii="Century Schoolbook" w:hAnsi="Century Schoolbook" w:cs="Segoe UI"/>
        </w:rPr>
        <w:t xml:space="preserve"> circumstances of Mrs. Frett’s injury.</w:t>
      </w:r>
      <w:r w:rsidR="008F0970">
        <w:rPr>
          <w:rFonts w:ascii="Century Schoolbook" w:hAnsi="Century Schoolbook" w:cs="Segoe UI"/>
        </w:rPr>
        <w:t xml:space="preserve"> Please see the footnote below:</w:t>
      </w:r>
    </w:p>
    <w:p w14:paraId="3D1518CF" w14:textId="77777777" w:rsidR="00331D6E" w:rsidRDefault="00331D6E" w:rsidP="00331D6E">
      <w:pPr>
        <w:pStyle w:val="paragraph"/>
        <w:spacing w:before="0" w:beforeAutospacing="0" w:after="0" w:afterAutospacing="0" w:line="480" w:lineRule="auto"/>
        <w:textAlignment w:val="baseline"/>
        <w:rPr>
          <w:rFonts w:ascii="Century Schoolbook" w:hAnsi="Century Schoolbook" w:cs="Segoe UI"/>
        </w:rPr>
      </w:pPr>
    </w:p>
    <w:p w14:paraId="73407979" w14:textId="21155804" w:rsidR="00331D6E" w:rsidRPr="001F599F" w:rsidRDefault="00331D6E" w:rsidP="00331D6E">
      <w:pPr>
        <w:pStyle w:val="paragraph"/>
        <w:spacing w:before="0" w:beforeAutospacing="0" w:after="0" w:afterAutospacing="0" w:line="480" w:lineRule="auto"/>
        <w:ind w:left="720"/>
        <w:textAlignment w:val="baseline"/>
        <w:rPr>
          <w:rFonts w:ascii="Century Schoolbook" w:hAnsi="Century Schoolbook" w:cs="Segoe UI"/>
        </w:rPr>
      </w:pPr>
      <w:r w:rsidRPr="001F599F">
        <w:rPr>
          <w:rStyle w:val="normaltextrun"/>
          <w:rFonts w:ascii="Century Schoolbook" w:hAnsi="Century Schoolbook" w:cs="Calibri"/>
        </w:rPr>
        <w:t xml:space="preserve">Our statements here should not be read to create any bright-line rules. We are not suggesting, for instance, that Frett's injury definitely would not have been compensable if it had occurred in the parking lot outside her employer's premises or if she had been doing something other than preparing lunch. These questions are not before us, and the outcome in each case depends on the particular circumstances involved. Frett v. State Farm Emp. Workers' Comp., 309 Ga. 44, </w:t>
      </w:r>
      <w:r w:rsidR="007F369D" w:rsidRPr="001F599F">
        <w:rPr>
          <w:rStyle w:val="normaltextrun"/>
          <w:rFonts w:ascii="Century Schoolbook" w:hAnsi="Century Schoolbook" w:cs="Calibri"/>
        </w:rPr>
        <w:t xml:space="preserve">Footnote 7 </w:t>
      </w:r>
      <w:r w:rsidRPr="001F599F">
        <w:rPr>
          <w:rStyle w:val="normaltextrun"/>
          <w:rFonts w:ascii="Century Schoolbook" w:hAnsi="Century Schoolbook" w:cs="Calibri"/>
        </w:rPr>
        <w:t>(Ga. 2020)</w:t>
      </w:r>
      <w:r w:rsidRPr="001F599F">
        <w:rPr>
          <w:rStyle w:val="eop"/>
          <w:rFonts w:ascii="Century Schoolbook" w:hAnsi="Century Schoolbook" w:cs="Calibri"/>
        </w:rPr>
        <w:t> </w:t>
      </w:r>
    </w:p>
    <w:p w14:paraId="368A5089" w14:textId="77777777" w:rsidR="00331D6E" w:rsidRDefault="00331D6E" w:rsidP="00331D6E">
      <w:pPr>
        <w:pStyle w:val="paragraph"/>
        <w:spacing w:before="0" w:beforeAutospacing="0" w:after="0" w:afterAutospacing="0" w:line="480" w:lineRule="auto"/>
        <w:textAlignment w:val="baseline"/>
        <w:rPr>
          <w:rFonts w:ascii="Century Schoolbook" w:hAnsi="Century Schoolbook" w:cs="Segoe UI"/>
        </w:rPr>
      </w:pPr>
    </w:p>
    <w:p w14:paraId="763C3719" w14:textId="02C0189C" w:rsidR="007C6C2F" w:rsidRPr="00A401D4" w:rsidRDefault="00D27D09" w:rsidP="00A401D4">
      <w:pPr>
        <w:pStyle w:val="paragraph"/>
        <w:spacing w:before="0" w:beforeAutospacing="0" w:after="0" w:afterAutospacing="0" w:line="480" w:lineRule="auto"/>
        <w:ind w:firstLine="720"/>
        <w:textAlignment w:val="baseline"/>
        <w:rPr>
          <w:rFonts w:ascii="Century Schoolbook" w:hAnsi="Century Schoolbook" w:cs="Segoe UI"/>
        </w:rPr>
      </w:pPr>
      <w:r w:rsidRPr="001F599F">
        <w:rPr>
          <w:rStyle w:val="normaltextrun"/>
          <w:rFonts w:ascii="Century Schoolbook" w:hAnsi="Century Schoolbook" w:cs="Calibri"/>
        </w:rPr>
        <w:t xml:space="preserve">In the dicta of the above footnote, the </w:t>
      </w:r>
      <w:r w:rsidR="00C554AC">
        <w:rPr>
          <w:rStyle w:val="normaltextrun"/>
          <w:rFonts w:ascii="Century Schoolbook" w:hAnsi="Century Schoolbook" w:cs="Calibri"/>
        </w:rPr>
        <w:t>S</w:t>
      </w:r>
      <w:r w:rsidRPr="001F599F">
        <w:rPr>
          <w:rStyle w:val="normaltextrun"/>
          <w:rFonts w:ascii="Century Schoolbook" w:hAnsi="Century Schoolbook" w:cs="Calibri"/>
        </w:rPr>
        <w:t xml:space="preserve">upreme </w:t>
      </w:r>
      <w:r w:rsidR="00C554AC">
        <w:rPr>
          <w:rStyle w:val="normaltextrun"/>
          <w:rFonts w:ascii="Century Schoolbook" w:hAnsi="Century Schoolbook" w:cs="Calibri"/>
        </w:rPr>
        <w:t>C</w:t>
      </w:r>
      <w:r w:rsidRPr="001F599F">
        <w:rPr>
          <w:rStyle w:val="normaltextrun"/>
          <w:rFonts w:ascii="Century Schoolbook" w:hAnsi="Century Schoolbook" w:cs="Calibri"/>
        </w:rPr>
        <w:t xml:space="preserve">ourt says that it is not creating any “bright line” rules for off-premises lunch breaks.  Since the </w:t>
      </w:r>
      <w:r w:rsidR="003C09F7">
        <w:rPr>
          <w:rStyle w:val="normaltextrun"/>
          <w:rFonts w:ascii="Century Schoolbook" w:hAnsi="Century Schoolbook" w:cs="Calibri"/>
        </w:rPr>
        <w:t>“</w:t>
      </w:r>
      <w:r w:rsidRPr="001F599F">
        <w:rPr>
          <w:rStyle w:val="normaltextrun"/>
          <w:rFonts w:ascii="Century Schoolbook" w:hAnsi="Century Schoolbook" w:cs="Calibri"/>
        </w:rPr>
        <w:t>scheduled break defense</w:t>
      </w:r>
      <w:r w:rsidR="003C09F7">
        <w:rPr>
          <w:rStyle w:val="normaltextrun"/>
          <w:rFonts w:ascii="Century Schoolbook" w:hAnsi="Century Schoolbook" w:cs="Calibri"/>
        </w:rPr>
        <w:t>”</w:t>
      </w:r>
      <w:r w:rsidRPr="001F599F">
        <w:rPr>
          <w:rStyle w:val="normaltextrun"/>
          <w:rFonts w:ascii="Century Schoolbook" w:hAnsi="Century Schoolbook" w:cs="Calibri"/>
        </w:rPr>
        <w:t xml:space="preserve"> has been abolished, it is somewhat unclear how off-premises lunch breaks should be treated under Georgia law.</w:t>
      </w:r>
      <w:r w:rsidRPr="001F599F">
        <w:rPr>
          <w:rStyle w:val="eop"/>
          <w:rFonts w:ascii="Century Schoolbook" w:hAnsi="Century Schoolbook" w:cs="Calibri"/>
        </w:rPr>
        <w:t> </w:t>
      </w:r>
      <w:r w:rsidRPr="001F599F">
        <w:rPr>
          <w:rStyle w:val="normaltextrun"/>
          <w:rFonts w:ascii="Century Schoolbook" w:hAnsi="Century Schoolbook" w:cs="Calibri"/>
        </w:rPr>
        <w:t xml:space="preserve">Arguably, under the personal </w:t>
      </w:r>
      <w:r w:rsidRPr="001F599F">
        <w:rPr>
          <w:rStyle w:val="normaltextrun"/>
          <w:rFonts w:ascii="Century Schoolbook" w:hAnsi="Century Schoolbook" w:cs="Calibri"/>
        </w:rPr>
        <w:lastRenderedPageBreak/>
        <w:t>“comfort </w:t>
      </w:r>
      <w:r w:rsidR="00DC1D69" w:rsidRPr="001F599F">
        <w:rPr>
          <w:rStyle w:val="normaltextrun"/>
          <w:rFonts w:ascii="Century Schoolbook" w:hAnsi="Century Schoolbook" w:cs="Calibri"/>
        </w:rPr>
        <w:t>doctrine</w:t>
      </w:r>
      <w:r w:rsidRPr="001F599F">
        <w:rPr>
          <w:rStyle w:val="normaltextrun"/>
          <w:rFonts w:ascii="Century Schoolbook" w:hAnsi="Century Schoolbook" w:cs="Calibri"/>
        </w:rPr>
        <w:t xml:space="preserve">”, all lunch breaks would be universally considered to be in the </w:t>
      </w:r>
      <w:r w:rsidR="00D731EA">
        <w:rPr>
          <w:rStyle w:val="normaltextrun"/>
          <w:rFonts w:ascii="Century Schoolbook" w:hAnsi="Century Schoolbook" w:cs="Calibri"/>
        </w:rPr>
        <w:t>course</w:t>
      </w:r>
      <w:r w:rsidRPr="001F599F">
        <w:rPr>
          <w:rStyle w:val="normaltextrun"/>
          <w:rFonts w:ascii="Century Schoolbook" w:hAnsi="Century Schoolbook" w:cs="Calibri"/>
        </w:rPr>
        <w:t xml:space="preserve"> of employment.  The reasoning is as follows: If eating lunch is incidental to employment, then eating lunch off premises is an activity incidental to employment, and therefore in the scope of employment. However, the </w:t>
      </w:r>
      <w:r w:rsidR="00DC70E3">
        <w:rPr>
          <w:rStyle w:val="normaltextrun"/>
          <w:rFonts w:ascii="Century Schoolbook" w:hAnsi="Century Schoolbook" w:cs="Calibri"/>
        </w:rPr>
        <w:t>states are divided about how to handle off</w:t>
      </w:r>
      <w:r w:rsidR="00E22140">
        <w:rPr>
          <w:rStyle w:val="normaltextrun"/>
          <w:rFonts w:ascii="Century Schoolbook" w:hAnsi="Century Schoolbook" w:cs="Calibri"/>
        </w:rPr>
        <w:t>-</w:t>
      </w:r>
      <w:r w:rsidR="00DC70E3">
        <w:rPr>
          <w:rStyle w:val="normaltextrun"/>
          <w:rFonts w:ascii="Century Schoolbook" w:hAnsi="Century Schoolbook" w:cs="Calibri"/>
        </w:rPr>
        <w:t xml:space="preserve">premises </w:t>
      </w:r>
      <w:r w:rsidR="00E22140">
        <w:rPr>
          <w:rStyle w:val="normaltextrun"/>
          <w:rFonts w:ascii="Century Schoolbook" w:hAnsi="Century Schoolbook" w:cs="Calibri"/>
        </w:rPr>
        <w:t>lunchbreak injuries</w:t>
      </w:r>
      <w:r w:rsidR="0053753D">
        <w:rPr>
          <w:rStyle w:val="normaltextrun"/>
          <w:rFonts w:ascii="Century Schoolbook" w:hAnsi="Century Schoolbook" w:cs="Calibri"/>
        </w:rPr>
        <w:t>.</w:t>
      </w:r>
      <w:r w:rsidR="007C6C2F">
        <w:rPr>
          <w:rStyle w:val="eop"/>
          <w:rFonts w:ascii="Century Schoolbook" w:hAnsi="Century Schoolbook" w:cs="Calibri"/>
        </w:rPr>
        <w:t xml:space="preserve"> </w:t>
      </w:r>
      <w:r w:rsidR="0053753D">
        <w:rPr>
          <w:rStyle w:val="normaltextrun"/>
          <w:rFonts w:ascii="Century Schoolbook" w:hAnsi="Century Schoolbook" w:cs="Calibri"/>
        </w:rPr>
        <w:t>T</w:t>
      </w:r>
      <w:r w:rsidRPr="001F599F">
        <w:rPr>
          <w:rStyle w:val="normaltextrun"/>
          <w:rFonts w:ascii="Century Schoolbook" w:hAnsi="Century Schoolbook" w:cs="Calibri"/>
        </w:rPr>
        <w:t>he majority rule is that an employee with a fixed time and place of work who has left the premises for lunch is outside the course of employment.</w:t>
      </w:r>
      <w:r w:rsidR="00766177">
        <w:rPr>
          <w:rStyle w:val="FootnoteReference"/>
          <w:rFonts w:ascii="Century Schoolbook" w:hAnsi="Century Schoolbook" w:cs="Calibri"/>
        </w:rPr>
        <w:footnoteReference w:id="23"/>
      </w:r>
      <w:r w:rsidR="00E22140">
        <w:rPr>
          <w:rStyle w:val="normaltextrun"/>
          <w:rFonts w:ascii="Century Schoolbook" w:hAnsi="Century Schoolbook" w:cs="Calibri"/>
        </w:rPr>
        <w:t xml:space="preserve"> </w:t>
      </w:r>
      <w:r w:rsidRPr="001F599F">
        <w:rPr>
          <w:rStyle w:val="normaltextrun"/>
          <w:rFonts w:ascii="Century Schoolbook" w:hAnsi="Century Schoolbook" w:cs="Calibri"/>
        </w:rPr>
        <w:t>Of course, there are also numerous exceptions to this rule in the states that follow it.</w:t>
      </w:r>
      <w:r w:rsidR="001B538A">
        <w:rPr>
          <w:rStyle w:val="FootnoteReference"/>
          <w:rFonts w:ascii="Century Schoolbook" w:hAnsi="Century Schoolbook" w:cs="Calibri"/>
        </w:rPr>
        <w:footnoteReference w:id="24"/>
      </w:r>
      <w:r w:rsidRPr="001F599F">
        <w:rPr>
          <w:rStyle w:val="eop"/>
          <w:rFonts w:ascii="Century Schoolbook" w:hAnsi="Century Schoolbook" w:cs="Calibri"/>
        </w:rPr>
        <w:t> </w:t>
      </w:r>
    </w:p>
    <w:p w14:paraId="2A15C6D7" w14:textId="6F70482A" w:rsidR="00D27D09" w:rsidRDefault="000B1494" w:rsidP="00691B18">
      <w:pPr>
        <w:pStyle w:val="paragraph"/>
        <w:spacing w:after="0" w:line="480" w:lineRule="auto"/>
        <w:ind w:firstLine="720"/>
        <w:textAlignment w:val="baseline"/>
        <w:rPr>
          <w:rStyle w:val="eop"/>
          <w:rFonts w:ascii="Century Schoolbook" w:hAnsi="Century Schoolbook" w:cs="Calibri"/>
        </w:rPr>
      </w:pPr>
      <w:r>
        <w:rPr>
          <w:rStyle w:val="normaltextrun"/>
          <w:rFonts w:ascii="Century Schoolbook" w:hAnsi="Century Schoolbook" w:cs="Calibri"/>
        </w:rPr>
        <w:t xml:space="preserve">Following the </w:t>
      </w:r>
      <w:r w:rsidRPr="006F1E0C">
        <w:rPr>
          <w:rStyle w:val="normaltextrun"/>
          <w:rFonts w:ascii="Century Schoolbook" w:hAnsi="Century Schoolbook" w:cs="Calibri"/>
          <w:i/>
          <w:iCs/>
        </w:rPr>
        <w:t>Frett</w:t>
      </w:r>
      <w:r>
        <w:rPr>
          <w:rStyle w:val="normaltextrun"/>
          <w:rFonts w:ascii="Century Schoolbook" w:hAnsi="Century Schoolbook" w:cs="Calibri"/>
        </w:rPr>
        <w:t xml:space="preserve"> decision, there</w:t>
      </w:r>
      <w:r w:rsidR="002A1E25">
        <w:rPr>
          <w:rStyle w:val="normaltextrun"/>
          <w:rFonts w:ascii="Century Schoolbook" w:hAnsi="Century Schoolbook" w:cs="Calibri"/>
        </w:rPr>
        <w:t xml:space="preserve"> is</w:t>
      </w:r>
      <w:r>
        <w:rPr>
          <w:rStyle w:val="normaltextrun"/>
          <w:rFonts w:ascii="Century Schoolbook" w:hAnsi="Century Schoolbook" w:cs="Calibri"/>
        </w:rPr>
        <w:t xml:space="preserve"> a lack of valid caselaw regarding off-premises lunch breaks.</w:t>
      </w:r>
      <w:r w:rsidRPr="001F599F">
        <w:rPr>
          <w:rStyle w:val="normaltextrun"/>
          <w:rFonts w:ascii="Century Schoolbook" w:hAnsi="Century Schoolbook" w:cs="Calibri"/>
        </w:rPr>
        <w:t xml:space="preserve"> </w:t>
      </w:r>
      <w:r w:rsidR="001022C7">
        <w:rPr>
          <w:rStyle w:val="normaltextrun"/>
          <w:rFonts w:ascii="Century Schoolbook" w:hAnsi="Century Schoolbook" w:cs="Calibri"/>
        </w:rPr>
        <w:t xml:space="preserve"> </w:t>
      </w:r>
      <w:r w:rsidR="002A1E25">
        <w:rPr>
          <w:rStyle w:val="normaltextrun"/>
          <w:rFonts w:ascii="Century Schoolbook" w:hAnsi="Century Schoolbook" w:cs="Calibri"/>
        </w:rPr>
        <w:t xml:space="preserve">The existing </w:t>
      </w:r>
      <w:r w:rsidR="001022C7">
        <w:rPr>
          <w:rStyle w:val="normaltextrun"/>
          <w:rFonts w:ascii="Century Schoolbook" w:hAnsi="Century Schoolbook" w:cs="Calibri"/>
        </w:rPr>
        <w:t xml:space="preserve">Georgia caselaw on the off-premises lunch breaks </w:t>
      </w:r>
      <w:r w:rsidR="001022C7">
        <w:rPr>
          <w:rStyle w:val="eop"/>
          <w:rFonts w:ascii="Century Schoolbook" w:hAnsi="Century Schoolbook" w:cs="Calibri"/>
        </w:rPr>
        <w:t>is primarily concerned</w:t>
      </w:r>
      <w:r w:rsidR="003E3C9D">
        <w:rPr>
          <w:rStyle w:val="eop"/>
          <w:rFonts w:ascii="Century Schoolbook" w:hAnsi="Century Schoolbook" w:cs="Calibri"/>
        </w:rPr>
        <w:t xml:space="preserve"> with the “scheduled” vs “unscheduled” break distinction</w:t>
      </w:r>
      <w:r w:rsidR="00BB29A5">
        <w:rPr>
          <w:rStyle w:val="eop"/>
          <w:rFonts w:ascii="Century Schoolbook" w:hAnsi="Century Schoolbook" w:cs="Calibri"/>
        </w:rPr>
        <w:t xml:space="preserve"> </w:t>
      </w:r>
      <w:r w:rsidR="002A1E25">
        <w:rPr>
          <w:rStyle w:val="eop"/>
          <w:rFonts w:ascii="Century Schoolbook" w:hAnsi="Century Schoolbook" w:cs="Calibri"/>
        </w:rPr>
        <w:t xml:space="preserve">by </w:t>
      </w:r>
      <w:r w:rsidR="00BB29A5" w:rsidRPr="00BB29A5">
        <w:rPr>
          <w:rStyle w:val="eop"/>
          <w:rFonts w:ascii="Century Schoolbook" w:hAnsi="Century Schoolbook" w:cs="Calibri"/>
          <w:i/>
          <w:iCs/>
        </w:rPr>
        <w:t>Farr</w:t>
      </w:r>
      <w:r w:rsidR="002A1E25">
        <w:rPr>
          <w:rStyle w:val="eop"/>
          <w:rFonts w:ascii="Century Schoolbook" w:hAnsi="Century Schoolbook" w:cs="Calibri"/>
        </w:rPr>
        <w:t xml:space="preserve"> and its progeny</w:t>
      </w:r>
      <w:r w:rsidR="00BB29A5" w:rsidRPr="00BB29A5">
        <w:rPr>
          <w:rStyle w:val="eop"/>
          <w:rFonts w:ascii="Century Schoolbook" w:hAnsi="Century Schoolbook" w:cs="Calibri"/>
          <w:i/>
          <w:iCs/>
        </w:rPr>
        <w:t xml:space="preserve"> </w:t>
      </w:r>
      <w:r w:rsidR="00BB29A5">
        <w:rPr>
          <w:rStyle w:val="eop"/>
          <w:rFonts w:ascii="Century Schoolbook" w:hAnsi="Century Schoolbook" w:cs="Calibri"/>
        </w:rPr>
        <w:t xml:space="preserve">(and overruled by </w:t>
      </w:r>
      <w:r w:rsidR="00BB29A5" w:rsidRPr="00BB29A5">
        <w:rPr>
          <w:rStyle w:val="eop"/>
          <w:rFonts w:ascii="Century Schoolbook" w:hAnsi="Century Schoolbook" w:cs="Calibri"/>
          <w:i/>
          <w:iCs/>
        </w:rPr>
        <w:t>Frett</w:t>
      </w:r>
      <w:r w:rsidR="00BB29A5">
        <w:rPr>
          <w:rStyle w:val="eop"/>
          <w:rFonts w:ascii="Century Schoolbook" w:hAnsi="Century Schoolbook" w:cs="Calibri"/>
        </w:rPr>
        <w:t>)</w:t>
      </w:r>
      <w:r w:rsidR="003E3C9D">
        <w:rPr>
          <w:rStyle w:val="eop"/>
          <w:rFonts w:ascii="Century Schoolbook" w:hAnsi="Century Schoolbook" w:cs="Calibri"/>
        </w:rPr>
        <w:t>.</w:t>
      </w:r>
      <w:r w:rsidR="00AD2985">
        <w:rPr>
          <w:rStyle w:val="eop"/>
          <w:rFonts w:ascii="Century Schoolbook" w:hAnsi="Century Schoolbook" w:cs="Calibri"/>
        </w:rPr>
        <w:t xml:space="preserve"> </w:t>
      </w:r>
      <w:r w:rsidR="00BB29A5">
        <w:rPr>
          <w:rStyle w:val="normaltextrun"/>
          <w:rFonts w:ascii="Century Schoolbook" w:hAnsi="Century Schoolbook" w:cs="Calibri"/>
        </w:rPr>
        <w:t xml:space="preserve">For </w:t>
      </w:r>
      <w:r w:rsidR="00E80EE1">
        <w:rPr>
          <w:rStyle w:val="normaltextrun"/>
          <w:rFonts w:ascii="Century Schoolbook" w:hAnsi="Century Schoolbook" w:cs="Calibri"/>
        </w:rPr>
        <w:t>instance</w:t>
      </w:r>
      <w:r w:rsidR="00BB29A5">
        <w:rPr>
          <w:rStyle w:val="normaltextrun"/>
          <w:rFonts w:ascii="Century Schoolbook" w:hAnsi="Century Schoolbook" w:cs="Calibri"/>
        </w:rPr>
        <w:t>,</w:t>
      </w:r>
      <w:r w:rsidR="00D27D09" w:rsidRPr="001F599F">
        <w:rPr>
          <w:rStyle w:val="normaltextrun"/>
          <w:rFonts w:ascii="Century Schoolbook" w:hAnsi="Century Schoolbook" w:cs="Calibri"/>
        </w:rPr>
        <w:t xml:space="preserve"> </w:t>
      </w:r>
      <w:r w:rsidR="007673A4">
        <w:rPr>
          <w:rStyle w:val="normaltextrun"/>
          <w:rFonts w:ascii="Century Schoolbook" w:hAnsi="Century Schoolbook" w:cs="Calibri"/>
        </w:rPr>
        <w:t>in</w:t>
      </w:r>
      <w:r w:rsidR="00D27D09" w:rsidRPr="001F599F">
        <w:rPr>
          <w:rStyle w:val="normaltextrun"/>
          <w:rFonts w:ascii="Century Schoolbook" w:hAnsi="Century Schoolbook" w:cs="Calibri"/>
        </w:rPr>
        <w:t> </w:t>
      </w:r>
      <w:r w:rsidR="0046213C" w:rsidRPr="007673A4">
        <w:rPr>
          <w:rStyle w:val="normaltextrun"/>
          <w:rFonts w:ascii="Century Schoolbook" w:hAnsi="Century Schoolbook" w:cs="Calibri"/>
          <w:i/>
          <w:iCs/>
        </w:rPr>
        <w:t>ATC Healthcare Service, Inc. v. Adams</w:t>
      </w:r>
      <w:r w:rsidR="0046213C" w:rsidRPr="0046213C">
        <w:rPr>
          <w:rStyle w:val="normaltextrun"/>
          <w:rFonts w:ascii="Century Schoolbook" w:hAnsi="Century Schoolbook" w:cs="Calibri"/>
        </w:rPr>
        <w:t xml:space="preserve">, 263 Ga. App. </w:t>
      </w:r>
      <w:r w:rsidR="00617DE3" w:rsidRPr="0046213C">
        <w:rPr>
          <w:rStyle w:val="normaltextrun"/>
          <w:rFonts w:ascii="Century Schoolbook" w:hAnsi="Century Schoolbook" w:cs="Calibri"/>
        </w:rPr>
        <w:t>792,</w:t>
      </w:r>
      <w:r w:rsidR="00D27D09" w:rsidRPr="001F599F">
        <w:rPr>
          <w:rStyle w:val="normaltextrun"/>
          <w:rFonts w:ascii="Century Schoolbook" w:hAnsi="Century Schoolbook" w:cs="Calibri"/>
        </w:rPr>
        <w:t xml:space="preserve"> the claimant worked for a staffing agency that provided nurses to </w:t>
      </w:r>
      <w:r w:rsidR="006F1E0C" w:rsidRPr="001F599F">
        <w:rPr>
          <w:rStyle w:val="normaltextrun"/>
          <w:rFonts w:ascii="Century Schoolbook" w:hAnsi="Century Schoolbook" w:cs="Calibri"/>
        </w:rPr>
        <w:t>hospitals</w:t>
      </w:r>
      <w:r w:rsidR="00D27D09" w:rsidRPr="001F599F">
        <w:rPr>
          <w:rStyle w:val="normaltextrun"/>
          <w:rFonts w:ascii="Century Schoolbook" w:hAnsi="Century Schoolbook" w:cs="Calibri"/>
        </w:rPr>
        <w:t>. The claimant was completing a </w:t>
      </w:r>
      <w:r w:rsidR="00363FBE" w:rsidRPr="001F599F">
        <w:rPr>
          <w:rStyle w:val="normaltextrun"/>
          <w:rFonts w:ascii="Century Schoolbook" w:hAnsi="Century Schoolbook" w:cs="Calibri"/>
        </w:rPr>
        <w:t>three-day</w:t>
      </w:r>
      <w:r w:rsidR="00D27D09" w:rsidRPr="001F599F">
        <w:rPr>
          <w:rStyle w:val="normaltextrun"/>
          <w:rFonts w:ascii="Century Schoolbook" w:hAnsi="Century Schoolbook" w:cs="Calibri"/>
        </w:rPr>
        <w:t> training seminar. During lunch, the claimant and several classmates drove to a cracker </w:t>
      </w:r>
      <w:r w:rsidR="00363FBE" w:rsidRPr="001F599F">
        <w:rPr>
          <w:rStyle w:val="normaltextrun"/>
          <w:rFonts w:ascii="Century Schoolbook" w:hAnsi="Century Schoolbook" w:cs="Calibri"/>
        </w:rPr>
        <w:t>barrel</w:t>
      </w:r>
      <w:r w:rsidR="00D27D09" w:rsidRPr="001F599F">
        <w:rPr>
          <w:rStyle w:val="normaltextrun"/>
          <w:rFonts w:ascii="Century Schoolbook" w:hAnsi="Century Schoolbook" w:cs="Calibri"/>
        </w:rPr>
        <w:t>, where the claimant slipped and injured herself. </w:t>
      </w:r>
      <w:r w:rsidR="00D27D09" w:rsidRPr="001F599F">
        <w:rPr>
          <w:rStyle w:val="eop"/>
          <w:rFonts w:ascii="Century Schoolbook" w:hAnsi="Century Schoolbook" w:cs="Calibri"/>
        </w:rPr>
        <w:t> </w:t>
      </w:r>
      <w:r w:rsidR="00D27D09" w:rsidRPr="001F599F">
        <w:rPr>
          <w:rStyle w:val="normaltextrun"/>
          <w:rFonts w:ascii="Century Schoolbook" w:hAnsi="Century Schoolbook" w:cs="Calibri"/>
        </w:rPr>
        <w:t xml:space="preserve">The </w:t>
      </w:r>
      <w:r w:rsidR="00D27D09" w:rsidRPr="001F599F">
        <w:rPr>
          <w:rStyle w:val="normaltextrun"/>
          <w:rFonts w:ascii="Century Schoolbook" w:hAnsi="Century Schoolbook" w:cs="Calibri"/>
        </w:rPr>
        <w:lastRenderedPageBreak/>
        <w:t>Court of Appeals denied the claimant’s award on the basis that she was on a “scheduled break” and free from her </w:t>
      </w:r>
      <w:r w:rsidR="00E80EE1" w:rsidRPr="001F599F">
        <w:rPr>
          <w:rStyle w:val="normaltextrun"/>
          <w:rFonts w:ascii="Century Schoolbook" w:hAnsi="Century Schoolbook" w:cs="Calibri"/>
        </w:rPr>
        <w:t>employer’s</w:t>
      </w:r>
      <w:r w:rsidR="00D27D09" w:rsidRPr="001F599F">
        <w:rPr>
          <w:rStyle w:val="normaltextrun"/>
          <w:rFonts w:ascii="Century Schoolbook" w:hAnsi="Century Schoolbook" w:cs="Calibri"/>
        </w:rPr>
        <w:t> control. The Court reasoned that the claimant</w:t>
      </w:r>
      <w:r w:rsidR="00691B18">
        <w:rPr>
          <w:rStyle w:val="normaltextrun"/>
          <w:rFonts w:ascii="Century Schoolbook" w:hAnsi="Century Schoolbook" w:cs="Calibri"/>
        </w:rPr>
        <w:t xml:space="preserve">’s accident did not </w:t>
      </w:r>
      <w:r w:rsidR="00691B18" w:rsidRPr="00691B18">
        <w:rPr>
          <w:rStyle w:val="normaltextrun"/>
          <w:rFonts w:ascii="Century Schoolbook" w:hAnsi="Century Schoolbook" w:cs="Calibri"/>
          <w:i/>
          <w:iCs/>
        </w:rPr>
        <w:t xml:space="preserve">arise out of </w:t>
      </w:r>
      <w:r w:rsidR="00691B18">
        <w:rPr>
          <w:rStyle w:val="normaltextrun"/>
          <w:rFonts w:ascii="Century Schoolbook" w:hAnsi="Century Schoolbook" w:cs="Calibri"/>
        </w:rPr>
        <w:t xml:space="preserve">employment </w:t>
      </w:r>
      <w:r w:rsidR="00D27D09" w:rsidRPr="001F599F">
        <w:rPr>
          <w:rStyle w:val="normaltextrun"/>
          <w:rFonts w:ascii="Century Schoolbook" w:hAnsi="Century Schoolbook" w:cs="Calibri"/>
        </w:rPr>
        <w:t>because she was on a scheduled break. </w:t>
      </w:r>
    </w:p>
    <w:p w14:paraId="50CDC86D" w14:textId="3AC5A5B9" w:rsidR="00FC55D8" w:rsidRDefault="00281728" w:rsidP="0025312C">
      <w:pPr>
        <w:pStyle w:val="paragraph"/>
        <w:spacing w:after="0" w:line="480" w:lineRule="auto"/>
        <w:ind w:firstLine="720"/>
        <w:textAlignment w:val="baseline"/>
        <w:rPr>
          <w:rFonts w:ascii="Century Schoolbook" w:hAnsi="Century Schoolbook" w:cs="Calibri"/>
          <w:color w:val="212121"/>
          <w:shd w:val="clear" w:color="auto" w:fill="FFFFFF"/>
        </w:rPr>
      </w:pPr>
      <w:r>
        <w:rPr>
          <w:rStyle w:val="eop"/>
          <w:rFonts w:ascii="Century Schoolbook" w:hAnsi="Century Schoolbook" w:cs="Calibri"/>
        </w:rPr>
        <w:t xml:space="preserve">Because </w:t>
      </w:r>
      <w:r w:rsidR="00DC1CB0">
        <w:rPr>
          <w:rStyle w:val="eop"/>
          <w:rFonts w:ascii="Century Schoolbook" w:hAnsi="Century Schoolbook" w:cs="Calibri"/>
        </w:rPr>
        <w:t xml:space="preserve">the </w:t>
      </w:r>
      <w:r>
        <w:rPr>
          <w:rStyle w:val="eop"/>
          <w:rFonts w:ascii="Century Schoolbook" w:hAnsi="Century Schoolbook" w:cs="Calibri"/>
        </w:rPr>
        <w:t>“</w:t>
      </w:r>
      <w:r w:rsidR="00DC1CB0">
        <w:rPr>
          <w:rStyle w:val="eop"/>
          <w:rFonts w:ascii="Century Schoolbook" w:hAnsi="Century Schoolbook" w:cs="Calibri"/>
        </w:rPr>
        <w:t>scheduled break</w:t>
      </w:r>
      <w:r>
        <w:rPr>
          <w:rStyle w:val="eop"/>
          <w:rFonts w:ascii="Century Schoolbook" w:hAnsi="Century Schoolbook" w:cs="Calibri"/>
        </w:rPr>
        <w:t>”</w:t>
      </w:r>
      <w:r w:rsidR="00DC1CB0">
        <w:rPr>
          <w:rStyle w:val="eop"/>
          <w:rFonts w:ascii="Century Schoolbook" w:hAnsi="Century Schoolbook" w:cs="Calibri"/>
        </w:rPr>
        <w:t xml:space="preserve"> defense</w:t>
      </w:r>
      <w:r>
        <w:rPr>
          <w:rStyle w:val="eop"/>
          <w:rFonts w:ascii="Century Schoolbook" w:hAnsi="Century Schoolbook" w:cs="Calibri"/>
        </w:rPr>
        <w:t xml:space="preserve"> is no longer valid, it raises questions </w:t>
      </w:r>
      <w:r w:rsidRPr="000E65CC">
        <w:rPr>
          <w:rStyle w:val="eop"/>
          <w:rFonts w:ascii="Century Schoolbook" w:hAnsi="Century Schoolbook" w:cs="Calibri"/>
        </w:rPr>
        <w:t xml:space="preserve">about how to </w:t>
      </w:r>
      <w:r w:rsidR="005E67A9">
        <w:rPr>
          <w:rStyle w:val="eop"/>
          <w:rFonts w:ascii="Century Schoolbook" w:hAnsi="Century Schoolbook" w:cs="Calibri"/>
        </w:rPr>
        <w:t>evaluate</w:t>
      </w:r>
      <w:r w:rsidRPr="000E65CC">
        <w:rPr>
          <w:rStyle w:val="eop"/>
          <w:rFonts w:ascii="Century Schoolbook" w:hAnsi="Century Schoolbook" w:cs="Calibri"/>
        </w:rPr>
        <w:t xml:space="preserve"> claims for off</w:t>
      </w:r>
      <w:r w:rsidR="005E67A9">
        <w:rPr>
          <w:rStyle w:val="eop"/>
          <w:rFonts w:ascii="Century Schoolbook" w:hAnsi="Century Schoolbook" w:cs="Calibri"/>
        </w:rPr>
        <w:t>-</w:t>
      </w:r>
      <w:r w:rsidRPr="000E65CC">
        <w:rPr>
          <w:rStyle w:val="eop"/>
          <w:rFonts w:ascii="Century Schoolbook" w:hAnsi="Century Schoolbook" w:cs="Calibri"/>
        </w:rPr>
        <w:t>premises lunch</w:t>
      </w:r>
      <w:r w:rsidR="005E67A9">
        <w:rPr>
          <w:rStyle w:val="eop"/>
          <w:rFonts w:ascii="Century Schoolbook" w:hAnsi="Century Schoolbook" w:cs="Calibri"/>
        </w:rPr>
        <w:t>-</w:t>
      </w:r>
      <w:r w:rsidRPr="000E65CC">
        <w:rPr>
          <w:rStyle w:val="eop"/>
          <w:rFonts w:ascii="Century Schoolbook" w:hAnsi="Century Schoolbook" w:cs="Calibri"/>
        </w:rPr>
        <w:t>breaks injuries</w:t>
      </w:r>
      <w:r w:rsidR="005E67A9">
        <w:rPr>
          <w:rStyle w:val="eop"/>
          <w:rFonts w:ascii="Century Schoolbook" w:hAnsi="Century Schoolbook" w:cs="Calibri"/>
        </w:rPr>
        <w:t>.</w:t>
      </w:r>
      <w:r w:rsidR="009D5AAF" w:rsidRPr="000E65CC">
        <w:rPr>
          <w:rStyle w:val="eop"/>
          <w:rFonts w:ascii="Century Schoolbook" w:hAnsi="Century Schoolbook" w:cs="Calibri"/>
        </w:rPr>
        <w:t xml:space="preserve"> </w:t>
      </w:r>
      <w:r w:rsidR="00705556" w:rsidRPr="000E65CC">
        <w:rPr>
          <w:rStyle w:val="eop"/>
          <w:rFonts w:ascii="Century Schoolbook" w:hAnsi="Century Schoolbook" w:cs="Calibri"/>
          <w:i/>
          <w:iCs/>
        </w:rPr>
        <w:t>Fre</w:t>
      </w:r>
      <w:r w:rsidR="0025470B" w:rsidRPr="000E65CC">
        <w:rPr>
          <w:rStyle w:val="eop"/>
          <w:rFonts w:ascii="Century Schoolbook" w:hAnsi="Century Schoolbook" w:cs="Calibri"/>
          <w:i/>
          <w:iCs/>
        </w:rPr>
        <w:t>tt</w:t>
      </w:r>
      <w:r w:rsidR="00705556" w:rsidRPr="000E65CC">
        <w:rPr>
          <w:rStyle w:val="eop"/>
          <w:rFonts w:ascii="Century Schoolbook" w:hAnsi="Century Schoolbook" w:cs="Calibri"/>
          <w:i/>
          <w:iCs/>
        </w:rPr>
        <w:t xml:space="preserve"> </w:t>
      </w:r>
      <w:r w:rsidR="00705556" w:rsidRPr="000E65CC">
        <w:rPr>
          <w:rStyle w:val="eop"/>
          <w:rFonts w:ascii="Century Schoolbook" w:hAnsi="Century Schoolbook" w:cs="Calibri"/>
        </w:rPr>
        <w:t xml:space="preserve">stands for the proposition that we should apply the coverage formula consistently across fact patterns. </w:t>
      </w:r>
      <w:r w:rsidR="00535994" w:rsidRPr="00535994">
        <w:rPr>
          <w:rFonts w:ascii="Century Schoolbook" w:hAnsi="Century Schoolbook" w:cs="Calibri"/>
          <w:color w:val="212121"/>
          <w:shd w:val="clear" w:color="auto" w:fill="FFFFFF"/>
        </w:rPr>
        <w:t xml:space="preserve">Because of the common practice of grouping compensation questions according to fact categories, lunch-time injuries are sometimes discussed as if they were a unique problem. </w:t>
      </w:r>
      <w:r w:rsidR="00195849">
        <w:rPr>
          <w:rFonts w:ascii="Century Schoolbook" w:hAnsi="Century Schoolbook" w:cs="Calibri"/>
          <w:color w:val="212121"/>
          <w:shd w:val="clear" w:color="auto" w:fill="FFFFFF"/>
        </w:rPr>
        <w:t>“</w:t>
      </w:r>
      <w:r w:rsidR="00535994" w:rsidRPr="00535994">
        <w:rPr>
          <w:rFonts w:ascii="Century Schoolbook" w:hAnsi="Century Schoolbook" w:cs="Calibri"/>
          <w:color w:val="212121"/>
          <w:shd w:val="clear" w:color="auto" w:fill="FFFFFF"/>
        </w:rPr>
        <w:t xml:space="preserve">Actually, when the employee has a definite place and time of work, and the time of work does not include the lunch hour, the trip away from and back to the premises for the purpose of getting lunch is indistinguishable in principle from the trip at the beginning and end of the </w:t>
      </w:r>
      <w:r w:rsidR="00617DE3" w:rsidRPr="00535994">
        <w:rPr>
          <w:rFonts w:ascii="Century Schoolbook" w:hAnsi="Century Schoolbook" w:cs="Calibri"/>
          <w:color w:val="212121"/>
          <w:shd w:val="clear" w:color="auto" w:fill="FFFFFF"/>
        </w:rPr>
        <w:t>workday and</w:t>
      </w:r>
      <w:r w:rsidR="00535994" w:rsidRPr="00535994">
        <w:rPr>
          <w:rFonts w:ascii="Century Schoolbook" w:hAnsi="Century Schoolbook" w:cs="Calibri"/>
          <w:color w:val="212121"/>
          <w:shd w:val="clear" w:color="auto" w:fill="FFFFFF"/>
        </w:rPr>
        <w:t xml:space="preserve"> should be governed by the same rules and exceptions.</w:t>
      </w:r>
      <w:r w:rsidR="00195849">
        <w:rPr>
          <w:rFonts w:ascii="Century Schoolbook" w:hAnsi="Century Schoolbook" w:cs="Calibri"/>
          <w:color w:val="212121"/>
          <w:shd w:val="clear" w:color="auto" w:fill="FFFFFF"/>
        </w:rPr>
        <w:t>”</w:t>
      </w:r>
      <w:r w:rsidR="00195849">
        <w:rPr>
          <w:rStyle w:val="FootnoteReference"/>
          <w:rFonts w:ascii="Century Schoolbook" w:hAnsi="Century Schoolbook" w:cs="Calibri"/>
          <w:color w:val="212121"/>
          <w:shd w:val="clear" w:color="auto" w:fill="FFFFFF"/>
        </w:rPr>
        <w:footnoteReference w:id="25"/>
      </w:r>
      <w:r w:rsidR="0012211E">
        <w:rPr>
          <w:rFonts w:ascii="Century Schoolbook" w:hAnsi="Century Schoolbook" w:cs="Calibri"/>
          <w:color w:val="212121"/>
          <w:shd w:val="clear" w:color="auto" w:fill="FFFFFF"/>
        </w:rPr>
        <w:t xml:space="preserve"> </w:t>
      </w:r>
      <w:r w:rsidR="00BB1326" w:rsidRPr="00BB1326">
        <w:rPr>
          <w:rFonts w:ascii="Century Schoolbook" w:hAnsi="Century Schoolbook" w:cs="Calibri"/>
          <w:color w:val="212121"/>
          <w:shd w:val="clear" w:color="auto" w:fill="FFFFFF"/>
        </w:rPr>
        <w:t>Georgia case</w:t>
      </w:r>
      <w:r w:rsidR="00BB1326">
        <w:rPr>
          <w:rFonts w:ascii="Century Schoolbook" w:hAnsi="Century Schoolbook" w:cs="Calibri"/>
          <w:color w:val="212121"/>
          <w:shd w:val="clear" w:color="auto" w:fill="FFFFFF"/>
        </w:rPr>
        <w:t>s</w:t>
      </w:r>
      <w:r w:rsidR="00BB1326" w:rsidRPr="00BB1326">
        <w:rPr>
          <w:rFonts w:ascii="Century Schoolbook" w:hAnsi="Century Schoolbook" w:cs="Calibri"/>
          <w:color w:val="212121"/>
          <w:shd w:val="clear" w:color="auto" w:fill="FFFFFF"/>
        </w:rPr>
        <w:t xml:space="preserve"> related to </w:t>
      </w:r>
      <w:r w:rsidR="00BB1326">
        <w:rPr>
          <w:rFonts w:ascii="Century Schoolbook" w:hAnsi="Century Schoolbook" w:cs="Calibri"/>
          <w:color w:val="212121"/>
          <w:shd w:val="clear" w:color="auto" w:fill="FFFFFF"/>
        </w:rPr>
        <w:t>“</w:t>
      </w:r>
      <w:r w:rsidR="00BB1326" w:rsidRPr="00BB1326">
        <w:rPr>
          <w:rFonts w:ascii="Century Schoolbook" w:hAnsi="Century Schoolbook" w:cs="Calibri"/>
          <w:color w:val="212121"/>
          <w:shd w:val="clear" w:color="auto" w:fill="FFFFFF"/>
        </w:rPr>
        <w:t>coming and going</w:t>
      </w:r>
      <w:r w:rsidR="00BB1326">
        <w:rPr>
          <w:rFonts w:ascii="Century Schoolbook" w:hAnsi="Century Schoolbook" w:cs="Calibri"/>
          <w:color w:val="212121"/>
          <w:shd w:val="clear" w:color="auto" w:fill="FFFFFF"/>
        </w:rPr>
        <w:t>”</w:t>
      </w:r>
      <w:r w:rsidR="00BB1326" w:rsidRPr="00BB1326">
        <w:rPr>
          <w:rFonts w:ascii="Century Schoolbook" w:hAnsi="Century Schoolbook" w:cs="Calibri"/>
          <w:color w:val="212121"/>
          <w:shd w:val="clear" w:color="auto" w:fill="FFFFFF"/>
        </w:rPr>
        <w:t xml:space="preserve"> rule</w:t>
      </w:r>
      <w:r w:rsidR="00BB1326">
        <w:rPr>
          <w:rFonts w:ascii="Century Schoolbook" w:hAnsi="Century Schoolbook" w:cs="Calibri"/>
          <w:color w:val="212121"/>
          <w:shd w:val="clear" w:color="auto" w:fill="FFFFFF"/>
        </w:rPr>
        <w:t xml:space="preserve"> and its exceptions</w:t>
      </w:r>
      <w:r w:rsidR="00BB1326" w:rsidRPr="00BB1326">
        <w:rPr>
          <w:rFonts w:ascii="Century Schoolbook" w:hAnsi="Century Schoolbook" w:cs="Calibri"/>
          <w:color w:val="212121"/>
          <w:shd w:val="clear" w:color="auto" w:fill="FFFFFF"/>
        </w:rPr>
        <w:t xml:space="preserve"> should apply equally to off</w:t>
      </w:r>
      <w:r w:rsidR="00BB1326">
        <w:rPr>
          <w:rFonts w:ascii="Century Schoolbook" w:hAnsi="Century Schoolbook" w:cs="Calibri"/>
          <w:color w:val="212121"/>
          <w:shd w:val="clear" w:color="auto" w:fill="FFFFFF"/>
        </w:rPr>
        <w:t>-</w:t>
      </w:r>
      <w:r w:rsidR="00BB1326" w:rsidRPr="00BB1326">
        <w:rPr>
          <w:rFonts w:ascii="Century Schoolbook" w:hAnsi="Century Schoolbook" w:cs="Calibri"/>
          <w:color w:val="212121"/>
          <w:shd w:val="clear" w:color="auto" w:fill="FFFFFF"/>
        </w:rPr>
        <w:t xml:space="preserve">premises </w:t>
      </w:r>
      <w:r w:rsidR="00617DE3" w:rsidRPr="00BB1326">
        <w:rPr>
          <w:rFonts w:ascii="Century Schoolbook" w:hAnsi="Century Schoolbook" w:cs="Calibri"/>
          <w:color w:val="212121"/>
          <w:shd w:val="clear" w:color="auto" w:fill="FFFFFF"/>
        </w:rPr>
        <w:t>lunch</w:t>
      </w:r>
      <w:r w:rsidR="00617DE3">
        <w:rPr>
          <w:rFonts w:ascii="Century Schoolbook" w:hAnsi="Century Schoolbook" w:cs="Calibri"/>
          <w:color w:val="212121"/>
          <w:shd w:val="clear" w:color="auto" w:fill="FFFFFF"/>
        </w:rPr>
        <w:t>breaks</w:t>
      </w:r>
      <w:r w:rsidR="00BB1326" w:rsidRPr="00BB1326">
        <w:rPr>
          <w:rFonts w:ascii="Century Schoolbook" w:hAnsi="Century Schoolbook" w:cs="Calibri"/>
          <w:color w:val="212121"/>
          <w:shd w:val="clear" w:color="auto" w:fill="FFFFFF"/>
        </w:rPr>
        <w:t xml:space="preserve">. </w:t>
      </w:r>
      <w:r w:rsidR="0012211E">
        <w:rPr>
          <w:rFonts w:ascii="Century Schoolbook" w:hAnsi="Century Schoolbook" w:cs="Calibri"/>
          <w:color w:val="212121"/>
          <w:shd w:val="clear" w:color="auto" w:fill="FFFFFF"/>
        </w:rPr>
        <w:t>For example,</w:t>
      </w:r>
      <w:r w:rsidR="00137359" w:rsidRPr="00137359">
        <w:rPr>
          <w:rFonts w:ascii="Century Schoolbook" w:hAnsi="Century Schoolbook" w:cs="Calibri"/>
          <w:color w:val="212121"/>
          <w:shd w:val="clear" w:color="auto" w:fill="FFFFFF"/>
        </w:rPr>
        <w:t xml:space="preserve"> an employee who is paid during the going and coming trip is deemed to be in the course of employment</w:t>
      </w:r>
      <w:r w:rsidR="00FF2D3A">
        <w:rPr>
          <w:rFonts w:ascii="Century Schoolbook" w:hAnsi="Century Schoolbook" w:cs="Calibri"/>
          <w:color w:val="212121"/>
          <w:shd w:val="clear" w:color="auto" w:fill="FFFFFF"/>
        </w:rPr>
        <w:t>.</w:t>
      </w:r>
      <w:r w:rsidR="00FD7FD9">
        <w:rPr>
          <w:rFonts w:ascii="Century Schoolbook" w:hAnsi="Century Schoolbook" w:cs="Calibri"/>
          <w:color w:val="212121"/>
          <w:shd w:val="clear" w:color="auto" w:fill="FFFFFF"/>
        </w:rPr>
        <w:t xml:space="preserve"> </w:t>
      </w:r>
      <w:r w:rsidR="00D11123" w:rsidRPr="00701C50">
        <w:rPr>
          <w:rFonts w:ascii="Century Schoolbook" w:hAnsi="Century Schoolbook" w:cs="Calibri"/>
          <w:i/>
          <w:iCs/>
          <w:color w:val="212121"/>
          <w:shd w:val="clear" w:color="auto" w:fill="FFFFFF"/>
        </w:rPr>
        <w:t>Continental Cas Co. v Thompson</w:t>
      </w:r>
      <w:r w:rsidR="00D11123">
        <w:rPr>
          <w:rFonts w:ascii="Century Schoolbook" w:hAnsi="Century Schoolbook" w:cs="Calibri"/>
          <w:color w:val="212121"/>
          <w:shd w:val="clear" w:color="auto" w:fill="FFFFFF"/>
        </w:rPr>
        <w:t>, 130 Ga. App</w:t>
      </w:r>
      <w:r w:rsidR="00584D26">
        <w:rPr>
          <w:rFonts w:ascii="Century Schoolbook" w:hAnsi="Century Schoolbook" w:cs="Calibri"/>
          <w:color w:val="212121"/>
          <w:shd w:val="clear" w:color="auto" w:fill="FFFFFF"/>
        </w:rPr>
        <w:t>. 270 (employee who was</w:t>
      </w:r>
      <w:r w:rsidR="0096057F">
        <w:rPr>
          <w:rFonts w:ascii="Century Schoolbook" w:hAnsi="Century Schoolbook" w:cs="Calibri"/>
          <w:color w:val="212121"/>
          <w:shd w:val="clear" w:color="auto" w:fill="FFFFFF"/>
        </w:rPr>
        <w:t xml:space="preserve"> given an </w:t>
      </w:r>
      <w:r w:rsidR="00701C50">
        <w:rPr>
          <w:rFonts w:ascii="Century Schoolbook" w:hAnsi="Century Schoolbook" w:cs="Calibri"/>
          <w:color w:val="212121"/>
          <w:shd w:val="clear" w:color="auto" w:fill="FFFFFF"/>
        </w:rPr>
        <w:t xml:space="preserve">extra </w:t>
      </w:r>
      <w:r w:rsidR="0096057F">
        <w:rPr>
          <w:rFonts w:ascii="Century Schoolbook" w:hAnsi="Century Schoolbook" w:cs="Calibri"/>
          <w:color w:val="212121"/>
          <w:shd w:val="clear" w:color="auto" w:fill="FFFFFF"/>
        </w:rPr>
        <w:t>hour</w:t>
      </w:r>
      <w:r w:rsidR="00701C50">
        <w:rPr>
          <w:rFonts w:ascii="Century Schoolbook" w:hAnsi="Century Schoolbook" w:cs="Calibri"/>
          <w:color w:val="212121"/>
          <w:shd w:val="clear" w:color="auto" w:fill="FFFFFF"/>
        </w:rPr>
        <w:t>’</w:t>
      </w:r>
      <w:r w:rsidR="0096057F">
        <w:rPr>
          <w:rFonts w:ascii="Century Schoolbook" w:hAnsi="Century Schoolbook" w:cs="Calibri"/>
          <w:color w:val="212121"/>
          <w:shd w:val="clear" w:color="auto" w:fill="FFFFFF"/>
        </w:rPr>
        <w:t xml:space="preserve">s pay for travel was found to have compensable injury). </w:t>
      </w:r>
      <w:r w:rsidR="00AB0E29">
        <w:rPr>
          <w:rFonts w:ascii="Century Schoolbook" w:hAnsi="Century Schoolbook" w:cs="Calibri"/>
          <w:color w:val="212121"/>
          <w:shd w:val="clear" w:color="auto" w:fill="FFFFFF"/>
        </w:rPr>
        <w:t>An</w:t>
      </w:r>
      <w:r w:rsidR="00137359" w:rsidRPr="00137359">
        <w:rPr>
          <w:rFonts w:ascii="Century Schoolbook" w:hAnsi="Century Schoolbook" w:cs="Calibri"/>
          <w:color w:val="212121"/>
          <w:shd w:val="clear" w:color="auto" w:fill="FFFFFF"/>
        </w:rPr>
        <w:t xml:space="preserve"> </w:t>
      </w:r>
      <w:r w:rsidR="0012211E">
        <w:rPr>
          <w:rFonts w:ascii="Century Schoolbook" w:hAnsi="Century Schoolbook" w:cs="Calibri"/>
          <w:color w:val="212121"/>
          <w:shd w:val="clear" w:color="auto" w:fill="FFFFFF"/>
        </w:rPr>
        <w:t>employee</w:t>
      </w:r>
      <w:r w:rsidR="00137359" w:rsidRPr="00137359">
        <w:rPr>
          <w:rFonts w:ascii="Century Schoolbook" w:hAnsi="Century Schoolbook" w:cs="Calibri"/>
          <w:color w:val="212121"/>
          <w:shd w:val="clear" w:color="auto" w:fill="FFFFFF"/>
        </w:rPr>
        <w:t xml:space="preserve"> who was paid during the time taken out for lunch or coffee may be given the benefit of the same conclusion.</w:t>
      </w:r>
    </w:p>
    <w:p w14:paraId="6CAAAC97" w14:textId="7A25795B" w:rsidR="0025312C" w:rsidRDefault="00E02057" w:rsidP="0025312C">
      <w:pPr>
        <w:pStyle w:val="paragraph"/>
        <w:spacing w:after="0" w:line="480" w:lineRule="auto"/>
        <w:textAlignment w:val="baseline"/>
        <w:rPr>
          <w:rStyle w:val="eop"/>
          <w:rFonts w:ascii="Century Schoolbook" w:hAnsi="Century Schoolbook" w:cs="Calibri"/>
        </w:rPr>
      </w:pPr>
      <w:r>
        <w:rPr>
          <w:rStyle w:val="eop"/>
          <w:rFonts w:ascii="Century Schoolbook" w:hAnsi="Century Schoolbook" w:cs="Calibri"/>
        </w:rPr>
        <w:lastRenderedPageBreak/>
        <w:t>Here are some</w:t>
      </w:r>
      <w:r w:rsidR="003522CE">
        <w:rPr>
          <w:rStyle w:val="eop"/>
          <w:rFonts w:ascii="Century Schoolbook" w:hAnsi="Century Schoolbook" w:cs="Calibri"/>
        </w:rPr>
        <w:t xml:space="preserve"> potential</w:t>
      </w:r>
      <w:r>
        <w:rPr>
          <w:rStyle w:val="eop"/>
          <w:rFonts w:ascii="Century Schoolbook" w:hAnsi="Century Schoolbook" w:cs="Calibri"/>
        </w:rPr>
        <w:t xml:space="preserve"> issues to consider if you encounter an off-premises lunchbreak accident:</w:t>
      </w:r>
    </w:p>
    <w:p w14:paraId="6A0C3C6A" w14:textId="42A9C8A2" w:rsidR="0025312C" w:rsidRDefault="000539E8" w:rsidP="00E02057">
      <w:pPr>
        <w:pStyle w:val="paragraph"/>
        <w:numPr>
          <w:ilvl w:val="0"/>
          <w:numId w:val="7"/>
        </w:numPr>
        <w:spacing w:after="0" w:line="480" w:lineRule="auto"/>
        <w:textAlignment w:val="baseline"/>
        <w:rPr>
          <w:rFonts w:ascii="Century Schoolbook" w:hAnsi="Century Schoolbook" w:cs="Calibri"/>
          <w:color w:val="212121"/>
          <w:shd w:val="clear" w:color="auto" w:fill="FFFFFF"/>
        </w:rPr>
      </w:pPr>
      <w:r>
        <w:rPr>
          <w:rFonts w:ascii="Century Schoolbook" w:hAnsi="Century Schoolbook" w:cs="Calibri"/>
          <w:color w:val="212121"/>
          <w:shd w:val="clear" w:color="auto" w:fill="FFFFFF"/>
        </w:rPr>
        <w:t>Is the worker</w:t>
      </w:r>
      <w:r w:rsidR="0025312C" w:rsidRPr="000E65CC">
        <w:rPr>
          <w:rFonts w:ascii="Century Schoolbook" w:hAnsi="Century Schoolbook" w:cs="Calibri"/>
          <w:color w:val="212121"/>
          <w:shd w:val="clear" w:color="auto" w:fill="FFFFFF"/>
        </w:rPr>
        <w:t xml:space="preserve"> paid for the time or expense of travel?</w:t>
      </w:r>
      <w:r w:rsidR="0090510B">
        <w:rPr>
          <w:rFonts w:ascii="Century Schoolbook" w:hAnsi="Century Schoolbook" w:cs="Calibri"/>
          <w:color w:val="212121"/>
          <w:shd w:val="clear" w:color="auto" w:fill="FFFFFF"/>
        </w:rPr>
        <w:t xml:space="preserve"> </w:t>
      </w:r>
      <w:r w:rsidR="0090510B" w:rsidRPr="00B914C9">
        <w:rPr>
          <w:rFonts w:ascii="Century Schoolbook" w:hAnsi="Century Schoolbook" w:cs="Calibri"/>
          <w:i/>
          <w:iCs/>
          <w:color w:val="212121"/>
          <w:shd w:val="clear" w:color="auto" w:fill="FFFFFF"/>
        </w:rPr>
        <w:t>Indem</w:t>
      </w:r>
      <w:r w:rsidR="00B914C9" w:rsidRPr="00B914C9">
        <w:rPr>
          <w:rFonts w:ascii="Century Schoolbook" w:hAnsi="Century Schoolbook" w:cs="Calibri"/>
          <w:i/>
          <w:iCs/>
          <w:color w:val="212121"/>
          <w:shd w:val="clear" w:color="auto" w:fill="FFFFFF"/>
        </w:rPr>
        <w:t>nity Ins. Co of N Am. V. Bolen</w:t>
      </w:r>
      <w:r w:rsidR="00B914C9">
        <w:rPr>
          <w:rFonts w:ascii="Century Schoolbook" w:hAnsi="Century Schoolbook" w:cs="Calibri"/>
          <w:color w:val="212121"/>
          <w:shd w:val="clear" w:color="auto" w:fill="FFFFFF"/>
        </w:rPr>
        <w:t>, 106 Ga. App. 684.</w:t>
      </w:r>
    </w:p>
    <w:p w14:paraId="7D2C1F92" w14:textId="4C75A0AC" w:rsidR="0025312C" w:rsidRDefault="0025312C" w:rsidP="00E02057">
      <w:pPr>
        <w:pStyle w:val="paragraph"/>
        <w:numPr>
          <w:ilvl w:val="0"/>
          <w:numId w:val="7"/>
        </w:numPr>
        <w:spacing w:after="0" w:line="480" w:lineRule="auto"/>
        <w:textAlignment w:val="baseline"/>
        <w:rPr>
          <w:rFonts w:ascii="Century Schoolbook" w:hAnsi="Century Schoolbook" w:cs="Calibri"/>
          <w:color w:val="212121"/>
          <w:shd w:val="clear" w:color="auto" w:fill="FFFFFF"/>
        </w:rPr>
      </w:pPr>
      <w:r w:rsidRPr="000E65CC">
        <w:rPr>
          <w:rFonts w:ascii="Century Schoolbook" w:hAnsi="Century Schoolbook" w:cs="Calibri"/>
          <w:color w:val="212121"/>
          <w:shd w:val="clear" w:color="auto" w:fill="FFFFFF"/>
        </w:rPr>
        <w:t>Is the employee in the employer’s conveyance?</w:t>
      </w:r>
    </w:p>
    <w:p w14:paraId="3F06AD74" w14:textId="5E51EF45" w:rsidR="0025312C" w:rsidRDefault="000539E8" w:rsidP="00E02057">
      <w:pPr>
        <w:pStyle w:val="paragraph"/>
        <w:numPr>
          <w:ilvl w:val="0"/>
          <w:numId w:val="7"/>
        </w:numPr>
        <w:spacing w:after="0" w:line="480" w:lineRule="auto"/>
        <w:textAlignment w:val="baseline"/>
        <w:rPr>
          <w:rFonts w:ascii="Century Schoolbook" w:hAnsi="Century Schoolbook" w:cs="Calibri"/>
          <w:color w:val="212121"/>
          <w:shd w:val="clear" w:color="auto" w:fill="FFFFFF"/>
        </w:rPr>
      </w:pPr>
      <w:r>
        <w:rPr>
          <w:rFonts w:ascii="Century Schoolbook" w:hAnsi="Century Schoolbook" w:cs="Calibri"/>
          <w:color w:val="212121"/>
          <w:shd w:val="clear" w:color="auto" w:fill="FFFFFF"/>
        </w:rPr>
        <w:t>Was the employee</w:t>
      </w:r>
      <w:r w:rsidR="0025312C" w:rsidRPr="000E65CC">
        <w:rPr>
          <w:rFonts w:ascii="Century Schoolbook" w:hAnsi="Century Schoolbook" w:cs="Calibri"/>
          <w:color w:val="212121"/>
          <w:shd w:val="clear" w:color="auto" w:fill="FFFFFF"/>
        </w:rPr>
        <w:t xml:space="preserve"> concurrently performing </w:t>
      </w:r>
      <w:r w:rsidR="00DB1134">
        <w:rPr>
          <w:rFonts w:ascii="Century Schoolbook" w:hAnsi="Century Schoolbook" w:cs="Calibri"/>
          <w:color w:val="212121"/>
          <w:shd w:val="clear" w:color="auto" w:fill="FFFFFF"/>
        </w:rPr>
        <w:t>a service for the employer while on their lunch break</w:t>
      </w:r>
      <w:r w:rsidR="0025312C" w:rsidRPr="000E65CC">
        <w:rPr>
          <w:rFonts w:ascii="Century Schoolbook" w:hAnsi="Century Schoolbook" w:cs="Calibri"/>
          <w:color w:val="212121"/>
          <w:shd w:val="clear" w:color="auto" w:fill="FFFFFF"/>
        </w:rPr>
        <w:t>?</w:t>
      </w:r>
    </w:p>
    <w:p w14:paraId="0BBA5E0B" w14:textId="0D5C2137" w:rsidR="001D5FE0" w:rsidRDefault="001D5FE0" w:rsidP="00E02057">
      <w:pPr>
        <w:pStyle w:val="paragraph"/>
        <w:numPr>
          <w:ilvl w:val="0"/>
          <w:numId w:val="7"/>
        </w:numPr>
        <w:spacing w:after="0" w:line="480" w:lineRule="auto"/>
        <w:textAlignment w:val="baseline"/>
        <w:rPr>
          <w:rFonts w:ascii="Century Schoolbook" w:hAnsi="Century Schoolbook" w:cs="Calibri"/>
          <w:color w:val="212121"/>
          <w:shd w:val="clear" w:color="auto" w:fill="FFFFFF"/>
        </w:rPr>
      </w:pPr>
      <w:r>
        <w:rPr>
          <w:rFonts w:ascii="Century Schoolbook" w:hAnsi="Century Schoolbook" w:cs="Calibri"/>
          <w:color w:val="212121"/>
          <w:shd w:val="clear" w:color="auto" w:fill="FFFFFF"/>
        </w:rPr>
        <w:t>Did the employer request that the employee have a “fast” lunch so that they could quickly return to their work?</w:t>
      </w:r>
    </w:p>
    <w:p w14:paraId="22730516" w14:textId="54758200" w:rsidR="00475250" w:rsidRDefault="00475250" w:rsidP="00E02057">
      <w:pPr>
        <w:pStyle w:val="paragraph"/>
        <w:numPr>
          <w:ilvl w:val="0"/>
          <w:numId w:val="7"/>
        </w:numPr>
        <w:spacing w:after="0" w:line="480" w:lineRule="auto"/>
        <w:textAlignment w:val="baseline"/>
        <w:rPr>
          <w:rFonts w:ascii="Century Schoolbook" w:hAnsi="Century Schoolbook" w:cs="Calibri"/>
          <w:color w:val="212121"/>
          <w:shd w:val="clear" w:color="auto" w:fill="FFFFFF"/>
        </w:rPr>
      </w:pPr>
      <w:r>
        <w:rPr>
          <w:rFonts w:ascii="Century Schoolbook" w:hAnsi="Century Schoolbook" w:cs="Calibri"/>
          <w:color w:val="212121"/>
          <w:shd w:val="clear" w:color="auto" w:fill="FFFFFF"/>
        </w:rPr>
        <w:t>Is it a business lunch where</w:t>
      </w:r>
      <w:r w:rsidR="0048520A">
        <w:rPr>
          <w:rFonts w:ascii="Century Schoolbook" w:hAnsi="Century Schoolbook" w:cs="Calibri"/>
          <w:color w:val="212121"/>
          <w:shd w:val="clear" w:color="auto" w:fill="FFFFFF"/>
        </w:rPr>
        <w:t xml:space="preserve"> co-employees are talking about work or sending emails?</w:t>
      </w:r>
    </w:p>
    <w:p w14:paraId="3B091FAE" w14:textId="02901BEE" w:rsidR="00A16AF0" w:rsidRDefault="00A16AF0" w:rsidP="00E02057">
      <w:pPr>
        <w:pStyle w:val="paragraph"/>
        <w:numPr>
          <w:ilvl w:val="0"/>
          <w:numId w:val="7"/>
        </w:numPr>
        <w:spacing w:after="0" w:line="480" w:lineRule="auto"/>
        <w:textAlignment w:val="baseline"/>
        <w:rPr>
          <w:rFonts w:ascii="Century Schoolbook" w:hAnsi="Century Schoolbook" w:cs="Calibri"/>
          <w:color w:val="212121"/>
          <w:shd w:val="clear" w:color="auto" w:fill="FFFFFF"/>
        </w:rPr>
      </w:pPr>
      <w:r>
        <w:rPr>
          <w:rFonts w:ascii="Century Schoolbook" w:hAnsi="Century Schoolbook" w:cs="Calibri"/>
          <w:color w:val="212121"/>
          <w:shd w:val="clear" w:color="auto" w:fill="FFFFFF"/>
        </w:rPr>
        <w:t xml:space="preserve">Is the employee travelling </w:t>
      </w:r>
      <w:r w:rsidR="00CD5415">
        <w:rPr>
          <w:rFonts w:ascii="Century Schoolbook" w:hAnsi="Century Schoolbook" w:cs="Calibri"/>
          <w:color w:val="212121"/>
          <w:shd w:val="clear" w:color="auto" w:fill="FFFFFF"/>
        </w:rPr>
        <w:t>to their “home office” to eat lunch</w:t>
      </w:r>
      <w:r w:rsidR="00505309">
        <w:rPr>
          <w:rFonts w:ascii="Century Schoolbook" w:hAnsi="Century Schoolbook" w:cs="Calibri"/>
          <w:color w:val="212121"/>
          <w:shd w:val="clear" w:color="auto" w:fill="FFFFFF"/>
        </w:rPr>
        <w:t xml:space="preserve">? See </w:t>
      </w:r>
      <w:r w:rsidR="00505309" w:rsidRPr="00C87BEB">
        <w:rPr>
          <w:rFonts w:ascii="Century Schoolbook" w:hAnsi="Century Schoolbook" w:cs="Calibri"/>
          <w:i/>
          <w:iCs/>
          <w:color w:val="212121"/>
          <w:shd w:val="clear" w:color="auto" w:fill="FFFFFF"/>
        </w:rPr>
        <w:t>West point Pe</w:t>
      </w:r>
      <w:r w:rsidR="00C87BEB" w:rsidRPr="00C87BEB">
        <w:rPr>
          <w:rFonts w:ascii="Century Schoolbook" w:hAnsi="Century Schoolbook" w:cs="Calibri"/>
          <w:i/>
          <w:iCs/>
          <w:color w:val="212121"/>
          <w:shd w:val="clear" w:color="auto" w:fill="FFFFFF"/>
        </w:rPr>
        <w:t>pperell, Inc. v. McEntire</w:t>
      </w:r>
      <w:r w:rsidR="00C87BEB">
        <w:rPr>
          <w:rFonts w:ascii="Century Schoolbook" w:hAnsi="Century Schoolbook" w:cs="Calibri"/>
          <w:color w:val="212121"/>
          <w:shd w:val="clear" w:color="auto" w:fill="FFFFFF"/>
        </w:rPr>
        <w:t>, 150 Ga App. 728.</w:t>
      </w:r>
      <w:r w:rsidR="004E08CE">
        <w:rPr>
          <w:rFonts w:ascii="Century Schoolbook" w:hAnsi="Century Schoolbook" w:cs="Calibri"/>
          <w:color w:val="212121"/>
          <w:shd w:val="clear" w:color="auto" w:fill="FFFFFF"/>
        </w:rPr>
        <w:t xml:space="preserve"> This may become a more common fact pattern with the increase in remote working.</w:t>
      </w:r>
    </w:p>
    <w:p w14:paraId="4869A9D7" w14:textId="2DBE5064" w:rsidR="0025312C" w:rsidRDefault="00FD7FD9" w:rsidP="0025312C">
      <w:pPr>
        <w:pStyle w:val="paragraph"/>
        <w:spacing w:after="0" w:line="480" w:lineRule="auto"/>
        <w:ind w:firstLine="720"/>
        <w:textAlignment w:val="baseline"/>
        <w:rPr>
          <w:rFonts w:ascii="Century Schoolbook" w:hAnsi="Century Schoolbook" w:cs="Calibri"/>
          <w:color w:val="212121"/>
          <w:shd w:val="clear" w:color="auto" w:fill="FFFFFF"/>
        </w:rPr>
      </w:pPr>
      <w:r>
        <w:rPr>
          <w:rFonts w:ascii="Century Schoolbook" w:hAnsi="Century Schoolbook" w:cs="Calibri"/>
          <w:color w:val="212121"/>
          <w:shd w:val="clear" w:color="auto" w:fill="FFFFFF"/>
        </w:rPr>
        <w:t xml:space="preserve">These </w:t>
      </w:r>
      <w:r w:rsidR="00EA30E2">
        <w:rPr>
          <w:rFonts w:ascii="Century Schoolbook" w:hAnsi="Century Schoolbook" w:cs="Calibri"/>
          <w:color w:val="212121"/>
          <w:shd w:val="clear" w:color="auto" w:fill="FFFFFF"/>
        </w:rPr>
        <w:t>off-premises cases will</w:t>
      </w:r>
      <w:r w:rsidR="00701C50">
        <w:rPr>
          <w:rFonts w:ascii="Century Schoolbook" w:hAnsi="Century Schoolbook" w:cs="Calibri"/>
          <w:color w:val="212121"/>
          <w:shd w:val="clear" w:color="auto" w:fill="FFFFFF"/>
        </w:rPr>
        <w:t xml:space="preserve"> likely</w:t>
      </w:r>
      <w:r w:rsidR="00EA30E2">
        <w:rPr>
          <w:rFonts w:ascii="Century Schoolbook" w:hAnsi="Century Schoolbook" w:cs="Calibri"/>
          <w:color w:val="212121"/>
          <w:shd w:val="clear" w:color="auto" w:fill="FFFFFF"/>
        </w:rPr>
        <w:t xml:space="preserve"> turn</w:t>
      </w:r>
      <w:r w:rsidR="00701C50">
        <w:rPr>
          <w:rFonts w:ascii="Century Schoolbook" w:hAnsi="Century Schoolbook" w:cs="Calibri"/>
          <w:color w:val="212121"/>
          <w:shd w:val="clear" w:color="auto" w:fill="FFFFFF"/>
        </w:rPr>
        <w:t xml:space="preserve"> on</w:t>
      </w:r>
      <w:r w:rsidR="00966015">
        <w:rPr>
          <w:rFonts w:ascii="Century Schoolbook" w:hAnsi="Century Schoolbook" w:cs="Calibri"/>
          <w:color w:val="212121"/>
          <w:shd w:val="clear" w:color="auto" w:fill="FFFFFF"/>
        </w:rPr>
        <w:t xml:space="preserve"> mixed</w:t>
      </w:r>
      <w:r w:rsidR="00701C50">
        <w:rPr>
          <w:rFonts w:ascii="Century Schoolbook" w:hAnsi="Century Schoolbook" w:cs="Calibri"/>
          <w:color w:val="212121"/>
          <w:shd w:val="clear" w:color="auto" w:fill="FFFFFF"/>
        </w:rPr>
        <w:t>-</w:t>
      </w:r>
      <w:r w:rsidR="00966015">
        <w:rPr>
          <w:rFonts w:ascii="Century Schoolbook" w:hAnsi="Century Schoolbook" w:cs="Calibri"/>
          <w:color w:val="212121"/>
          <w:shd w:val="clear" w:color="auto" w:fill="FFFFFF"/>
        </w:rPr>
        <w:t>questions of law and fact.</w:t>
      </w:r>
      <w:r w:rsidR="00135F93">
        <w:rPr>
          <w:rFonts w:ascii="Century Schoolbook" w:hAnsi="Century Schoolbook" w:cs="Calibri"/>
          <w:color w:val="212121"/>
          <w:shd w:val="clear" w:color="auto" w:fill="FFFFFF"/>
        </w:rPr>
        <w:t xml:space="preserve"> Given that </w:t>
      </w:r>
      <w:r w:rsidR="00135F93" w:rsidRPr="007E0CA6">
        <w:rPr>
          <w:rFonts w:ascii="Century Schoolbook" w:hAnsi="Century Schoolbook" w:cs="Calibri"/>
          <w:i/>
          <w:iCs/>
          <w:color w:val="212121"/>
          <w:shd w:val="clear" w:color="auto" w:fill="FFFFFF"/>
        </w:rPr>
        <w:t>Farr</w:t>
      </w:r>
      <w:r w:rsidR="00135F93">
        <w:rPr>
          <w:rFonts w:ascii="Century Schoolbook" w:hAnsi="Century Schoolbook" w:cs="Calibri"/>
          <w:color w:val="212121"/>
          <w:shd w:val="clear" w:color="auto" w:fill="FFFFFF"/>
        </w:rPr>
        <w:t xml:space="preserve"> has been over</w:t>
      </w:r>
      <w:r w:rsidR="007E0CA6">
        <w:rPr>
          <w:rFonts w:ascii="Century Schoolbook" w:hAnsi="Century Schoolbook" w:cs="Calibri"/>
          <w:color w:val="212121"/>
          <w:shd w:val="clear" w:color="auto" w:fill="FFFFFF"/>
        </w:rPr>
        <w:t>ruled</w:t>
      </w:r>
      <w:r w:rsidR="00135F93">
        <w:rPr>
          <w:rFonts w:ascii="Century Schoolbook" w:hAnsi="Century Schoolbook" w:cs="Calibri"/>
          <w:color w:val="212121"/>
          <w:shd w:val="clear" w:color="auto" w:fill="FFFFFF"/>
        </w:rPr>
        <w:t>, there is an opportunity to</w:t>
      </w:r>
      <w:r w:rsidR="007E0CA6">
        <w:rPr>
          <w:rFonts w:ascii="Century Schoolbook" w:hAnsi="Century Schoolbook" w:cs="Calibri"/>
          <w:color w:val="212121"/>
          <w:shd w:val="clear" w:color="auto" w:fill="FFFFFF"/>
        </w:rPr>
        <w:t xml:space="preserve"> argue that</w:t>
      </w:r>
      <w:r w:rsidR="00972311">
        <w:rPr>
          <w:rFonts w:ascii="Century Schoolbook" w:hAnsi="Century Schoolbook" w:cs="Calibri"/>
          <w:color w:val="212121"/>
          <w:shd w:val="clear" w:color="auto" w:fill="FFFFFF"/>
        </w:rPr>
        <w:t xml:space="preserve"> more</w:t>
      </w:r>
      <w:r w:rsidR="007E0CA6">
        <w:rPr>
          <w:rFonts w:ascii="Century Schoolbook" w:hAnsi="Century Schoolbook" w:cs="Calibri"/>
          <w:color w:val="212121"/>
          <w:shd w:val="clear" w:color="auto" w:fill="FFFFFF"/>
        </w:rPr>
        <w:t xml:space="preserve"> off-premises lunch breaks </w:t>
      </w:r>
      <w:r w:rsidR="007E0CA6" w:rsidRPr="001E4AC2">
        <w:rPr>
          <w:rFonts w:ascii="Century Schoolbook" w:hAnsi="Century Schoolbook" w:cs="Calibri"/>
          <w:i/>
          <w:iCs/>
          <w:color w:val="212121"/>
          <w:shd w:val="clear" w:color="auto" w:fill="FFFFFF"/>
        </w:rPr>
        <w:t>arise out of and in the course of employment</w:t>
      </w:r>
      <w:r w:rsidR="007E0CA6">
        <w:rPr>
          <w:rFonts w:ascii="Century Schoolbook" w:hAnsi="Century Schoolbook" w:cs="Calibri"/>
          <w:color w:val="212121"/>
          <w:shd w:val="clear" w:color="auto" w:fill="FFFFFF"/>
        </w:rPr>
        <w:t>.</w:t>
      </w:r>
    </w:p>
    <w:p w14:paraId="0CFAD3EF" w14:textId="7F2D23C0" w:rsidR="002268DB" w:rsidRPr="00CC0BF4" w:rsidRDefault="00CC0BF4" w:rsidP="00CC0BF4">
      <w:pPr>
        <w:pStyle w:val="paragraph"/>
        <w:spacing w:before="0" w:beforeAutospacing="0" w:after="0" w:afterAutospacing="0" w:line="480" w:lineRule="auto"/>
        <w:jc w:val="center"/>
        <w:textAlignment w:val="baseline"/>
        <w:rPr>
          <w:rFonts w:ascii="Century Schoolbook" w:hAnsi="Century Schoolbook" w:cs="Segoe UI"/>
          <w:spacing w:val="20"/>
        </w:rPr>
      </w:pPr>
      <w:r w:rsidRPr="00CC0BF4">
        <w:rPr>
          <w:rFonts w:ascii="Century Schoolbook" w:hAnsi="Century Schoolbook" w:cs="Segoe UI"/>
          <w:spacing w:val="20"/>
        </w:rPr>
        <w:t>CONCLUSION</w:t>
      </w:r>
    </w:p>
    <w:p w14:paraId="0DA1398A" w14:textId="77777777" w:rsidR="002268DB" w:rsidRDefault="002268DB" w:rsidP="002268DB">
      <w:pPr>
        <w:pStyle w:val="paragraph"/>
        <w:spacing w:before="0" w:beforeAutospacing="0" w:after="0" w:afterAutospacing="0" w:line="480" w:lineRule="auto"/>
        <w:ind w:firstLine="720"/>
        <w:textAlignment w:val="baseline"/>
        <w:rPr>
          <w:rFonts w:ascii="Century Schoolbook" w:hAnsi="Century Schoolbook" w:cs="Segoe UI"/>
        </w:rPr>
      </w:pPr>
    </w:p>
    <w:p w14:paraId="7D292212" w14:textId="37FB897A" w:rsidR="002268DB" w:rsidRPr="00334F02" w:rsidRDefault="002268DB" w:rsidP="002268DB">
      <w:pPr>
        <w:pStyle w:val="paragraph"/>
        <w:spacing w:before="0" w:beforeAutospacing="0" w:after="0" w:afterAutospacing="0" w:line="480" w:lineRule="auto"/>
        <w:ind w:firstLine="720"/>
        <w:textAlignment w:val="baseline"/>
        <w:rPr>
          <w:rFonts w:ascii="Century Schoolbook" w:hAnsi="Century Schoolbook" w:cs="Segoe UI"/>
        </w:rPr>
      </w:pPr>
      <w:r w:rsidRPr="00792B2A">
        <w:rPr>
          <w:rFonts w:ascii="Century Schoolbook" w:hAnsi="Century Schoolbook" w:cs="Segoe UI"/>
          <w:i/>
          <w:iCs/>
        </w:rPr>
        <w:t>Frett v State Farm</w:t>
      </w:r>
      <w:r w:rsidRPr="00334F02">
        <w:rPr>
          <w:rFonts w:ascii="Century Schoolbook" w:hAnsi="Century Schoolbook" w:cs="Segoe UI"/>
        </w:rPr>
        <w:t xml:space="preserve"> is </w:t>
      </w:r>
      <w:r>
        <w:rPr>
          <w:rFonts w:ascii="Century Schoolbook" w:hAnsi="Century Schoolbook" w:cs="Segoe UI"/>
        </w:rPr>
        <w:t>an</w:t>
      </w:r>
      <w:r w:rsidRPr="00334F02">
        <w:rPr>
          <w:rFonts w:ascii="Century Schoolbook" w:hAnsi="Century Schoolbook" w:cs="Segoe UI"/>
        </w:rPr>
        <w:t xml:space="preserve"> improvement in the case law</w:t>
      </w:r>
      <w:r w:rsidR="00F61B08">
        <w:rPr>
          <w:rFonts w:ascii="Century Schoolbook" w:hAnsi="Century Schoolbook" w:cs="Segoe UI"/>
        </w:rPr>
        <w:t xml:space="preserve">. </w:t>
      </w:r>
      <w:r w:rsidRPr="00334F02">
        <w:rPr>
          <w:rFonts w:ascii="Century Schoolbook" w:hAnsi="Century Schoolbook" w:cs="Segoe UI"/>
        </w:rPr>
        <w:t xml:space="preserve">It is hard to argue that tort lawsuits are the desired outcome for such clearly work-related injuries. </w:t>
      </w:r>
      <w:r w:rsidR="00256AAD">
        <w:rPr>
          <w:rFonts w:ascii="Century Schoolbook" w:hAnsi="Century Schoolbook" w:cs="Segoe UI"/>
        </w:rPr>
        <w:lastRenderedPageBreak/>
        <w:t xml:space="preserve">Workers’ comp should be the preferred remedy for workers that are injured on their </w:t>
      </w:r>
      <w:r w:rsidR="00CC0BF4">
        <w:rPr>
          <w:rFonts w:ascii="Century Schoolbook" w:hAnsi="Century Schoolbook" w:cs="Segoe UI"/>
        </w:rPr>
        <w:t>employers’</w:t>
      </w:r>
      <w:r w:rsidR="00256AAD">
        <w:rPr>
          <w:rFonts w:ascii="Century Schoolbook" w:hAnsi="Century Schoolbook" w:cs="Segoe UI"/>
        </w:rPr>
        <w:t xml:space="preserve"> premises.</w:t>
      </w:r>
    </w:p>
    <w:p w14:paraId="4341C2B4" w14:textId="461DCAB4" w:rsidR="002268DB" w:rsidRDefault="00CC0BF4" w:rsidP="002F6530">
      <w:pPr>
        <w:pStyle w:val="paragraph"/>
        <w:spacing w:before="0" w:beforeAutospacing="0" w:after="0" w:afterAutospacing="0" w:line="480" w:lineRule="auto"/>
        <w:ind w:firstLine="720"/>
        <w:textAlignment w:val="baseline"/>
        <w:rPr>
          <w:rFonts w:ascii="Century Schoolbook" w:hAnsi="Century Schoolbook" w:cs="Segoe UI"/>
        </w:rPr>
      </w:pPr>
      <w:r>
        <w:rPr>
          <w:rFonts w:ascii="Century Schoolbook" w:hAnsi="Century Schoolbook" w:cs="Segoe UI"/>
        </w:rPr>
        <w:t>T</w:t>
      </w:r>
      <w:r w:rsidR="002268DB" w:rsidRPr="00334F02">
        <w:rPr>
          <w:rFonts w:ascii="Century Schoolbook" w:hAnsi="Century Schoolbook" w:cs="Segoe UI"/>
        </w:rPr>
        <w:t xml:space="preserve">he Georgia Supreme Court could have decided </w:t>
      </w:r>
      <w:r w:rsidR="002268DB">
        <w:rPr>
          <w:rFonts w:ascii="Century Schoolbook" w:hAnsi="Century Schoolbook" w:cs="Segoe UI"/>
        </w:rPr>
        <w:t>to</w:t>
      </w:r>
      <w:r w:rsidR="002268DB" w:rsidRPr="00334F02">
        <w:rPr>
          <w:rFonts w:ascii="Century Schoolbook" w:hAnsi="Century Schoolbook" w:cs="Segoe UI"/>
        </w:rPr>
        <w:t xml:space="preserve"> simply follow the precedent set in the </w:t>
      </w:r>
      <w:r w:rsidR="002268DB" w:rsidRPr="00350A4E">
        <w:rPr>
          <w:rFonts w:ascii="Century Schoolbook" w:hAnsi="Century Schoolbook" w:cs="Segoe UI"/>
          <w:i/>
          <w:iCs/>
        </w:rPr>
        <w:t>Rockwell</w:t>
      </w:r>
      <w:r w:rsidR="002268DB" w:rsidRPr="00334F02">
        <w:rPr>
          <w:rFonts w:ascii="Century Schoolbook" w:hAnsi="Century Schoolbook" w:cs="Segoe UI"/>
        </w:rPr>
        <w:t xml:space="preserve"> case. In that case, the Court of Appeals applied the </w:t>
      </w:r>
      <w:r w:rsidR="002268DB">
        <w:rPr>
          <w:rFonts w:ascii="Century Schoolbook" w:hAnsi="Century Schoolbook" w:cs="Segoe UI"/>
        </w:rPr>
        <w:t>“</w:t>
      </w:r>
      <w:r w:rsidR="002268DB" w:rsidRPr="00334F02">
        <w:rPr>
          <w:rFonts w:ascii="Century Schoolbook" w:hAnsi="Century Schoolbook" w:cs="Segoe UI"/>
        </w:rPr>
        <w:t>ingress and egress</w:t>
      </w:r>
      <w:r w:rsidR="002268DB">
        <w:rPr>
          <w:rFonts w:ascii="Century Schoolbook" w:hAnsi="Century Schoolbook" w:cs="Segoe UI"/>
        </w:rPr>
        <w:t>”</w:t>
      </w:r>
      <w:r w:rsidR="002268DB" w:rsidRPr="00334F02">
        <w:rPr>
          <w:rFonts w:ascii="Century Schoolbook" w:hAnsi="Century Schoolbook" w:cs="Segoe UI"/>
        </w:rPr>
        <w:t xml:space="preserve"> rule to scheduled breaks and held that accidents </w:t>
      </w:r>
      <w:r w:rsidR="002268DB" w:rsidRPr="00312140">
        <w:rPr>
          <w:rFonts w:ascii="Century Schoolbook" w:hAnsi="Century Schoolbook" w:cs="Segoe UI"/>
          <w:i/>
          <w:iCs/>
        </w:rPr>
        <w:t>arise out of and in the course of</w:t>
      </w:r>
      <w:r w:rsidR="002268DB" w:rsidRPr="00334F02">
        <w:rPr>
          <w:rFonts w:ascii="Century Schoolbook" w:hAnsi="Century Schoolbook" w:cs="Segoe UI"/>
        </w:rPr>
        <w:t xml:space="preserve"> employment if an employee is egress or ingressing on a </w:t>
      </w:r>
      <w:r w:rsidR="002268DB">
        <w:rPr>
          <w:rFonts w:ascii="Century Schoolbook" w:hAnsi="Century Schoolbook" w:cs="Segoe UI"/>
        </w:rPr>
        <w:t>“</w:t>
      </w:r>
      <w:r w:rsidR="002268DB" w:rsidRPr="00334F02">
        <w:rPr>
          <w:rFonts w:ascii="Century Schoolbook" w:hAnsi="Century Schoolbook" w:cs="Segoe UI"/>
        </w:rPr>
        <w:t>scheduled break</w:t>
      </w:r>
      <w:r w:rsidR="002268DB">
        <w:rPr>
          <w:rFonts w:ascii="Century Schoolbook" w:hAnsi="Century Schoolbook" w:cs="Segoe UI"/>
        </w:rPr>
        <w:t>”</w:t>
      </w:r>
      <w:r w:rsidR="002268DB" w:rsidRPr="00334F02">
        <w:rPr>
          <w:rFonts w:ascii="Century Schoolbook" w:hAnsi="Century Schoolbook" w:cs="Segoe UI"/>
        </w:rPr>
        <w:t xml:space="preserve">. </w:t>
      </w:r>
      <w:r w:rsidR="00923820">
        <w:rPr>
          <w:rFonts w:ascii="Century Schoolbook" w:hAnsi="Century Schoolbook" w:cs="Segoe UI"/>
        </w:rPr>
        <w:t>However, this “solution”</w:t>
      </w:r>
      <w:r w:rsidR="002268DB" w:rsidRPr="00334F02">
        <w:rPr>
          <w:rFonts w:ascii="Century Schoolbook" w:hAnsi="Century Schoolbook" w:cs="Segoe UI"/>
        </w:rPr>
        <w:t xml:space="preserve"> would </w:t>
      </w:r>
      <w:r w:rsidR="002268DB">
        <w:rPr>
          <w:rFonts w:ascii="Century Schoolbook" w:hAnsi="Century Schoolbook" w:cs="Segoe UI"/>
        </w:rPr>
        <w:t xml:space="preserve">have </w:t>
      </w:r>
      <w:r w:rsidR="002268DB" w:rsidRPr="00334F02">
        <w:rPr>
          <w:rFonts w:ascii="Century Schoolbook" w:hAnsi="Century Schoolbook" w:cs="Segoe UI"/>
        </w:rPr>
        <w:t>require</w:t>
      </w:r>
      <w:r w:rsidR="002268DB">
        <w:rPr>
          <w:rFonts w:ascii="Century Schoolbook" w:hAnsi="Century Schoolbook" w:cs="Segoe UI"/>
        </w:rPr>
        <w:t>d</w:t>
      </w:r>
      <w:r w:rsidR="002268DB" w:rsidRPr="00334F02">
        <w:rPr>
          <w:rFonts w:ascii="Century Schoolbook" w:hAnsi="Century Schoolbook" w:cs="Segoe UI"/>
        </w:rPr>
        <w:t xml:space="preserve"> that an employee who stays at his desk to eat lunch during the scheduled break would not have a compensable workers</w:t>
      </w:r>
      <w:r w:rsidR="002268DB">
        <w:rPr>
          <w:rFonts w:ascii="Century Schoolbook" w:hAnsi="Century Schoolbook" w:cs="Segoe UI"/>
        </w:rPr>
        <w:t>’</w:t>
      </w:r>
      <w:r w:rsidR="002268DB" w:rsidRPr="00334F02">
        <w:rPr>
          <w:rFonts w:ascii="Century Schoolbook" w:hAnsi="Century Schoolbook" w:cs="Segoe UI"/>
        </w:rPr>
        <w:t xml:space="preserve"> comp injury. </w:t>
      </w:r>
      <w:r w:rsidR="002F6530">
        <w:rPr>
          <w:rFonts w:ascii="Century Schoolbook" w:hAnsi="Century Schoolbook" w:cs="Segoe UI"/>
        </w:rPr>
        <w:t xml:space="preserve"> A</w:t>
      </w:r>
      <w:r w:rsidR="002268DB">
        <w:rPr>
          <w:rFonts w:ascii="Century Schoolbook" w:hAnsi="Century Schoolbook" w:cs="Segoe UI"/>
        </w:rPr>
        <w:t xml:space="preserve">lthough we tend to group compensation patterns according to fact pattern, leaving to and from lunch is no different than leaving to and from work at the begging and end of each day.  </w:t>
      </w:r>
      <w:r w:rsidR="0000277A">
        <w:rPr>
          <w:rFonts w:ascii="Century Schoolbook" w:hAnsi="Century Schoolbook" w:cs="Segoe UI"/>
        </w:rPr>
        <w:t>Getting rid of the “scheduled break” defense has provided much needed consistency to the caselaw.</w:t>
      </w:r>
    </w:p>
    <w:p w14:paraId="7336CCAF" w14:textId="77777777" w:rsidR="00CF6AF7" w:rsidRPr="001F599F" w:rsidRDefault="00CF6AF7" w:rsidP="00B50944">
      <w:pPr>
        <w:rPr>
          <w:rFonts w:ascii="Century Schoolbook" w:hAnsi="Century Schoolbook"/>
          <w:sz w:val="24"/>
          <w:szCs w:val="24"/>
        </w:rPr>
      </w:pPr>
    </w:p>
    <w:sectPr w:rsidR="00CF6AF7" w:rsidRPr="001F599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D06EB" w14:textId="77777777" w:rsidR="00061144" w:rsidRDefault="00061144" w:rsidP="001626CF">
      <w:pPr>
        <w:spacing w:after="0" w:line="240" w:lineRule="auto"/>
      </w:pPr>
      <w:r>
        <w:separator/>
      </w:r>
    </w:p>
  </w:endnote>
  <w:endnote w:type="continuationSeparator" w:id="0">
    <w:p w14:paraId="0AF481B0" w14:textId="77777777" w:rsidR="00061144" w:rsidRDefault="00061144" w:rsidP="001626CF">
      <w:pPr>
        <w:spacing w:after="0" w:line="240" w:lineRule="auto"/>
      </w:pPr>
      <w:r>
        <w:continuationSeparator/>
      </w:r>
    </w:p>
  </w:endnote>
  <w:endnote w:type="continuationNotice" w:id="1">
    <w:p w14:paraId="225F5849" w14:textId="77777777" w:rsidR="00061144" w:rsidRDefault="0006114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5745180"/>
      <w:docPartObj>
        <w:docPartGallery w:val="Page Numbers (Bottom of Page)"/>
        <w:docPartUnique/>
      </w:docPartObj>
    </w:sdtPr>
    <w:sdtEndPr>
      <w:rPr>
        <w:noProof/>
      </w:rPr>
    </w:sdtEndPr>
    <w:sdtContent>
      <w:p w14:paraId="7D463B95" w14:textId="6EC734E2" w:rsidR="00690013" w:rsidRDefault="0069001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D9EF0EA" w14:textId="77777777" w:rsidR="00690013" w:rsidRDefault="006900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E2B34" w14:textId="77777777" w:rsidR="00061144" w:rsidRDefault="00061144" w:rsidP="001626CF">
      <w:pPr>
        <w:spacing w:after="0" w:line="240" w:lineRule="auto"/>
      </w:pPr>
      <w:r>
        <w:separator/>
      </w:r>
    </w:p>
  </w:footnote>
  <w:footnote w:type="continuationSeparator" w:id="0">
    <w:p w14:paraId="7A2CC6DC" w14:textId="77777777" w:rsidR="00061144" w:rsidRDefault="00061144" w:rsidP="001626CF">
      <w:pPr>
        <w:spacing w:after="0" w:line="240" w:lineRule="auto"/>
      </w:pPr>
      <w:r>
        <w:continuationSeparator/>
      </w:r>
    </w:p>
  </w:footnote>
  <w:footnote w:type="continuationNotice" w:id="1">
    <w:p w14:paraId="014C3E00" w14:textId="77777777" w:rsidR="00061144" w:rsidRDefault="00061144">
      <w:pPr>
        <w:spacing w:after="0" w:line="240" w:lineRule="auto"/>
      </w:pPr>
    </w:p>
  </w:footnote>
  <w:footnote w:id="2">
    <w:p w14:paraId="5342175C" w14:textId="1D20E3CD" w:rsidR="00652AC6" w:rsidRPr="00CE5E09" w:rsidRDefault="00652AC6" w:rsidP="00652AC6">
      <w:pPr>
        <w:pStyle w:val="FootnoteText"/>
        <w:rPr>
          <w:rFonts w:ascii="Century Schoolbook" w:hAnsi="Century Schoolbook"/>
          <w:sz w:val="22"/>
          <w:szCs w:val="22"/>
        </w:rPr>
      </w:pPr>
      <w:r w:rsidRPr="00CE5E09">
        <w:rPr>
          <w:rStyle w:val="FootnoteReference"/>
          <w:rFonts w:ascii="Century Schoolbook" w:hAnsi="Century Schoolbook"/>
          <w:sz w:val="22"/>
          <w:szCs w:val="22"/>
        </w:rPr>
        <w:footnoteRef/>
      </w:r>
      <w:r w:rsidRPr="00CE5E09">
        <w:rPr>
          <w:rFonts w:ascii="Century Schoolbook" w:hAnsi="Century Schoolbook"/>
          <w:sz w:val="22"/>
          <w:szCs w:val="22"/>
        </w:rPr>
        <w:t xml:space="preserve"> </w:t>
      </w:r>
      <w:r w:rsidRPr="009021E4">
        <w:rPr>
          <w:rFonts w:ascii="Century Schoolbook" w:hAnsi="Century Schoolbook"/>
          <w:i/>
          <w:iCs/>
          <w:sz w:val="22"/>
          <w:szCs w:val="22"/>
        </w:rPr>
        <w:t>Larson Workers’ Compensation Law</w:t>
      </w:r>
      <w:r w:rsidRPr="00CE5E09">
        <w:rPr>
          <w:rFonts w:ascii="Century Schoolbook" w:hAnsi="Century Schoolbook"/>
          <w:sz w:val="22"/>
          <w:szCs w:val="22"/>
        </w:rPr>
        <w:t xml:space="preserve"> § 2.07 (LexisNexis).</w:t>
      </w:r>
    </w:p>
  </w:footnote>
  <w:footnote w:id="3">
    <w:p w14:paraId="1F46CC65" w14:textId="20A41C92" w:rsidR="007D6D45" w:rsidRPr="00CE5E09" w:rsidRDefault="007D6D45" w:rsidP="00652AC6">
      <w:pPr>
        <w:pStyle w:val="paragraph"/>
        <w:spacing w:before="0" w:beforeAutospacing="0" w:after="0" w:afterAutospacing="0"/>
        <w:textAlignment w:val="baseline"/>
        <w:rPr>
          <w:rFonts w:ascii="Century Schoolbook" w:hAnsi="Century Schoolbook"/>
          <w:sz w:val="22"/>
          <w:szCs w:val="22"/>
        </w:rPr>
      </w:pPr>
      <w:r w:rsidRPr="00CE5E09">
        <w:rPr>
          <w:rStyle w:val="FootnoteReference"/>
          <w:rFonts w:ascii="Century Schoolbook" w:hAnsi="Century Schoolbook"/>
          <w:sz w:val="22"/>
          <w:szCs w:val="22"/>
        </w:rPr>
        <w:footnoteRef/>
      </w:r>
      <w:r w:rsidRPr="00CE5E09">
        <w:rPr>
          <w:rFonts w:ascii="Century Schoolbook" w:hAnsi="Century Schoolbook"/>
          <w:sz w:val="22"/>
          <w:szCs w:val="22"/>
        </w:rPr>
        <w:t xml:space="preserve"> </w:t>
      </w:r>
      <w:r w:rsidRPr="009021E4">
        <w:rPr>
          <w:rStyle w:val="normaltextrun"/>
          <w:rFonts w:ascii="Century Schoolbook" w:hAnsi="Century Schoolbook" w:cs="Calibri"/>
          <w:i/>
          <w:iCs/>
          <w:color w:val="000000"/>
          <w:sz w:val="22"/>
          <w:szCs w:val="22"/>
        </w:rPr>
        <w:t>New Amsterdam Cas. Co v Sumrall,</w:t>
      </w:r>
      <w:r w:rsidRPr="00CE5E09">
        <w:rPr>
          <w:rStyle w:val="normaltextrun"/>
          <w:rFonts w:ascii="Century Schoolbook" w:hAnsi="Century Schoolbook" w:cs="Calibri"/>
          <w:color w:val="000000"/>
          <w:sz w:val="22"/>
          <w:szCs w:val="22"/>
        </w:rPr>
        <w:t xml:space="preserve"> 30 Ga. App. 682 (1923).</w:t>
      </w:r>
      <w:r w:rsidRPr="00CE5E09">
        <w:rPr>
          <w:rStyle w:val="eop"/>
          <w:rFonts w:ascii="Century Schoolbook" w:hAnsi="Century Schoolbook" w:cs="Calibri"/>
          <w:color w:val="000000"/>
          <w:sz w:val="22"/>
          <w:szCs w:val="22"/>
        </w:rPr>
        <w:t> </w:t>
      </w:r>
    </w:p>
  </w:footnote>
  <w:footnote w:id="4">
    <w:p w14:paraId="12FC6BFE" w14:textId="64BC0FC2" w:rsidR="007D6D45" w:rsidRPr="00EE4412" w:rsidRDefault="007D6D45" w:rsidP="00652AC6">
      <w:pPr>
        <w:pStyle w:val="FootnoteText"/>
        <w:rPr>
          <w:rFonts w:ascii="Century Schoolbook" w:hAnsi="Century Schoolbook"/>
          <w:sz w:val="22"/>
          <w:szCs w:val="22"/>
        </w:rPr>
      </w:pPr>
      <w:r w:rsidRPr="00CE5E09">
        <w:rPr>
          <w:rStyle w:val="FootnoteReference"/>
          <w:rFonts w:ascii="Century Schoolbook" w:hAnsi="Century Schoolbook"/>
          <w:sz w:val="22"/>
          <w:szCs w:val="22"/>
        </w:rPr>
        <w:footnoteRef/>
      </w:r>
      <w:r w:rsidRPr="00CE5E09">
        <w:rPr>
          <w:rFonts w:ascii="Century Schoolbook" w:hAnsi="Century Schoolbook"/>
          <w:sz w:val="22"/>
          <w:szCs w:val="22"/>
        </w:rPr>
        <w:t xml:space="preserve"> </w:t>
      </w:r>
      <w:r w:rsidRPr="009021E4">
        <w:rPr>
          <w:rFonts w:ascii="Century Schoolbook" w:hAnsi="Century Schoolbook"/>
          <w:i/>
          <w:iCs/>
          <w:sz w:val="22"/>
          <w:szCs w:val="22"/>
        </w:rPr>
        <w:t>Mayor and Aldermen Of the City of Savannah v. Stevens</w:t>
      </w:r>
      <w:r w:rsidRPr="00CE5E09">
        <w:rPr>
          <w:rFonts w:ascii="Century Schoolbook" w:hAnsi="Century Schoolbook"/>
          <w:sz w:val="22"/>
          <w:szCs w:val="22"/>
        </w:rPr>
        <w:t>, 598 S.E.2d 456, 278 Ga. 166 (Ga., 2004).</w:t>
      </w:r>
    </w:p>
  </w:footnote>
  <w:footnote w:id="5">
    <w:p w14:paraId="7BB47536" w14:textId="40C8DFA1" w:rsidR="008778E9" w:rsidRPr="00EE4412" w:rsidRDefault="008778E9">
      <w:pPr>
        <w:pStyle w:val="FootnoteText"/>
        <w:rPr>
          <w:rFonts w:ascii="Century Schoolbook" w:hAnsi="Century Schoolbook"/>
          <w:sz w:val="22"/>
          <w:szCs w:val="22"/>
        </w:rPr>
      </w:pPr>
      <w:r w:rsidRPr="00EE4412">
        <w:rPr>
          <w:rStyle w:val="FootnoteReference"/>
          <w:rFonts w:ascii="Century Schoolbook" w:hAnsi="Century Schoolbook"/>
          <w:sz w:val="22"/>
          <w:szCs w:val="22"/>
        </w:rPr>
        <w:footnoteRef/>
      </w:r>
      <w:r w:rsidRPr="00EE4412">
        <w:rPr>
          <w:rFonts w:ascii="Century Schoolbook" w:hAnsi="Century Schoolbook"/>
          <w:sz w:val="22"/>
          <w:szCs w:val="22"/>
        </w:rPr>
        <w:t xml:space="preserve"> </w:t>
      </w:r>
      <w:r w:rsidRPr="009021E4">
        <w:rPr>
          <w:rStyle w:val="eop"/>
          <w:rFonts w:ascii="Century Schoolbook" w:hAnsi="Century Schoolbook" w:cs="Calibri"/>
          <w:i/>
          <w:iCs/>
          <w:sz w:val="22"/>
          <w:szCs w:val="22"/>
        </w:rPr>
        <w:t>Frett v. State Farm Emp. Workers' Comp</w:t>
      </w:r>
      <w:r w:rsidRPr="00EE4412">
        <w:rPr>
          <w:rStyle w:val="eop"/>
          <w:rFonts w:ascii="Century Schoolbook" w:hAnsi="Century Schoolbook" w:cs="Calibri"/>
          <w:sz w:val="22"/>
          <w:szCs w:val="22"/>
        </w:rPr>
        <w:t xml:space="preserve">., 309 Ga. 44, 844 S.E.2d 749 (Ga. </w:t>
      </w:r>
      <w:r w:rsidR="00753D50" w:rsidRPr="00EE4412">
        <w:rPr>
          <w:rStyle w:val="eop"/>
          <w:rFonts w:ascii="Century Schoolbook" w:hAnsi="Century Schoolbook" w:cs="Calibri"/>
          <w:sz w:val="22"/>
          <w:szCs w:val="22"/>
        </w:rPr>
        <w:t>2020) (</w:t>
      </w:r>
      <w:r w:rsidR="00753D50" w:rsidRPr="00EE4412">
        <w:rPr>
          <w:rFonts w:ascii="Century Schoolbook" w:hAnsi="Century Schoolbook"/>
          <w:sz w:val="22"/>
          <w:szCs w:val="22"/>
        </w:rPr>
        <w:t>“</w:t>
      </w:r>
      <w:r w:rsidRPr="00EE4412">
        <w:rPr>
          <w:rFonts w:ascii="Century Schoolbook" w:hAnsi="Century Schoolbook"/>
          <w:sz w:val="22"/>
          <w:szCs w:val="22"/>
        </w:rPr>
        <w:t>The test presents two independent and distinct criteria, and an injury is not compensable unless it satisfies both...")</w:t>
      </w:r>
      <w:r w:rsidRPr="00EE4412">
        <w:rPr>
          <w:rStyle w:val="eop"/>
          <w:rFonts w:ascii="Century Schoolbook" w:hAnsi="Century Schoolbook" w:cs="Calibri"/>
          <w:sz w:val="22"/>
          <w:szCs w:val="22"/>
        </w:rPr>
        <w:t>.</w:t>
      </w:r>
    </w:p>
  </w:footnote>
  <w:footnote w:id="6">
    <w:p w14:paraId="00BC3E17" w14:textId="6923BB8A" w:rsidR="008A0D9B" w:rsidRPr="00EE4412" w:rsidRDefault="0046635E" w:rsidP="008A0D9B">
      <w:pPr>
        <w:pStyle w:val="FootnoteText"/>
        <w:rPr>
          <w:rFonts w:ascii="Century Schoolbook" w:hAnsi="Century Schoolbook"/>
          <w:sz w:val="22"/>
          <w:szCs w:val="22"/>
        </w:rPr>
      </w:pPr>
      <w:r w:rsidRPr="00EE4412">
        <w:rPr>
          <w:rStyle w:val="FootnoteReference"/>
          <w:rFonts w:ascii="Century Schoolbook" w:hAnsi="Century Schoolbook"/>
          <w:sz w:val="22"/>
          <w:szCs w:val="22"/>
        </w:rPr>
        <w:footnoteRef/>
      </w:r>
      <w:r w:rsidRPr="00EE4412">
        <w:rPr>
          <w:rFonts w:ascii="Century Schoolbook" w:hAnsi="Century Schoolbook"/>
          <w:sz w:val="22"/>
          <w:szCs w:val="22"/>
        </w:rPr>
        <w:t xml:space="preserve"> The</w:t>
      </w:r>
      <w:r w:rsidR="00591051" w:rsidRPr="00EE4412">
        <w:rPr>
          <w:rFonts w:ascii="Century Schoolbook" w:hAnsi="Century Schoolbook"/>
          <w:sz w:val="22"/>
          <w:szCs w:val="22"/>
        </w:rPr>
        <w:t xml:space="preserve"> Court of Appeals has tended to use</w:t>
      </w:r>
      <w:r w:rsidR="004E699E" w:rsidRPr="00EE4412">
        <w:rPr>
          <w:rFonts w:ascii="Century Schoolbook" w:hAnsi="Century Schoolbook"/>
          <w:sz w:val="22"/>
          <w:szCs w:val="22"/>
        </w:rPr>
        <w:t xml:space="preserve"> very verbose language to describe this simple concept.</w:t>
      </w:r>
      <w:r w:rsidR="00C97290">
        <w:rPr>
          <w:rFonts w:ascii="Century Schoolbook" w:hAnsi="Century Schoolbook"/>
          <w:sz w:val="22"/>
          <w:szCs w:val="22"/>
        </w:rPr>
        <w:t xml:space="preserve"> </w:t>
      </w:r>
      <w:r w:rsidR="008A0D9B" w:rsidRPr="008A0D9B">
        <w:rPr>
          <w:rFonts w:ascii="Century Schoolbook" w:hAnsi="Century Schoolbook"/>
          <w:i/>
          <w:iCs/>
          <w:sz w:val="22"/>
          <w:szCs w:val="22"/>
        </w:rPr>
        <w:t>Hulbert v. Domino’s Pizza, Inc</w:t>
      </w:r>
      <w:r w:rsidR="008A0D9B" w:rsidRPr="00C97290">
        <w:rPr>
          <w:rFonts w:ascii="Century Schoolbook" w:hAnsi="Century Schoolbook"/>
          <w:sz w:val="22"/>
          <w:szCs w:val="22"/>
        </w:rPr>
        <w:t>., 521 S.E.2d 43, 239 Ga. App. 370 (Ga. App. 1999)</w:t>
      </w:r>
    </w:p>
    <w:p w14:paraId="59796630" w14:textId="1ADE8895" w:rsidR="0046635E" w:rsidRPr="00EE4412" w:rsidRDefault="008A0D9B">
      <w:pPr>
        <w:pStyle w:val="FootnoteText"/>
        <w:rPr>
          <w:rFonts w:ascii="Century Schoolbook" w:hAnsi="Century Schoolbook"/>
          <w:sz w:val="22"/>
          <w:szCs w:val="22"/>
        </w:rPr>
      </w:pPr>
      <w:r>
        <w:rPr>
          <w:rFonts w:ascii="Century Schoolbook" w:hAnsi="Century Schoolbook"/>
          <w:sz w:val="22"/>
          <w:szCs w:val="22"/>
        </w:rPr>
        <w:t>(</w:t>
      </w:r>
      <w:r w:rsidR="00C97290" w:rsidRPr="00C97290">
        <w:rPr>
          <w:rFonts w:ascii="Century Schoolbook" w:hAnsi="Century Schoolbook"/>
          <w:sz w:val="22"/>
          <w:szCs w:val="22"/>
        </w:rPr>
        <w:t>"The injuries, however, need not arise from something peculiar to the employment but the injury is compensable if after the event it is apparent to the rational mind that there is a causal connection between the conditions under which the employment was performed and the resulting injury.")</w:t>
      </w:r>
    </w:p>
  </w:footnote>
  <w:footnote w:id="7">
    <w:p w14:paraId="74A53355" w14:textId="1B2CE49B" w:rsidR="00134F00" w:rsidRPr="00EE4412" w:rsidRDefault="00134F00">
      <w:pPr>
        <w:pStyle w:val="FootnoteText"/>
        <w:rPr>
          <w:rFonts w:ascii="Century Schoolbook" w:hAnsi="Century Schoolbook"/>
          <w:sz w:val="22"/>
          <w:szCs w:val="22"/>
        </w:rPr>
      </w:pPr>
      <w:r w:rsidRPr="00EE4412">
        <w:rPr>
          <w:rStyle w:val="FootnoteReference"/>
          <w:rFonts w:ascii="Century Schoolbook" w:hAnsi="Century Schoolbook"/>
          <w:sz w:val="22"/>
          <w:szCs w:val="22"/>
        </w:rPr>
        <w:footnoteRef/>
      </w:r>
      <w:r w:rsidRPr="00EE4412">
        <w:rPr>
          <w:rFonts w:ascii="Century Schoolbook" w:hAnsi="Century Schoolbook"/>
          <w:sz w:val="22"/>
          <w:szCs w:val="22"/>
        </w:rPr>
        <w:t xml:space="preserve"> </w:t>
      </w:r>
      <w:r w:rsidRPr="009021E4">
        <w:rPr>
          <w:rFonts w:ascii="Century Schoolbook" w:hAnsi="Century Schoolbook"/>
          <w:i/>
          <w:iCs/>
          <w:sz w:val="22"/>
          <w:szCs w:val="22"/>
        </w:rPr>
        <w:t>Wilkie v. Travelers Ins. Co.</w:t>
      </w:r>
      <w:r w:rsidRPr="00EE4412">
        <w:rPr>
          <w:rFonts w:ascii="Century Schoolbook" w:hAnsi="Century Schoolbook"/>
          <w:sz w:val="22"/>
          <w:szCs w:val="22"/>
        </w:rPr>
        <w:t>, 185 S.E.2d 783, 124 Ga.App. 714 (Ga. App. 1971)</w:t>
      </w:r>
    </w:p>
  </w:footnote>
  <w:footnote w:id="8">
    <w:p w14:paraId="34772FC8" w14:textId="77777777" w:rsidR="009A5D19" w:rsidRDefault="00055E5D" w:rsidP="009A5D19">
      <w:pPr>
        <w:pStyle w:val="FootnoteText"/>
      </w:pPr>
      <w:r>
        <w:rPr>
          <w:rStyle w:val="FootnoteReference"/>
        </w:rPr>
        <w:footnoteRef/>
      </w:r>
      <w:r>
        <w:t xml:space="preserve"> </w:t>
      </w:r>
      <w:r w:rsidR="009A5D19" w:rsidRPr="00EE4412">
        <w:rPr>
          <w:rStyle w:val="eop"/>
          <w:rFonts w:ascii="Century Schoolbook" w:hAnsi="Century Schoolbook" w:cs="Calibri"/>
          <w:i/>
          <w:iCs/>
          <w:sz w:val="22"/>
          <w:szCs w:val="22"/>
        </w:rPr>
        <w:t>Travelers Ins. Co. v Smith</w:t>
      </w:r>
      <w:r w:rsidR="009A5D19" w:rsidRPr="00EE4412">
        <w:rPr>
          <w:rStyle w:val="eop"/>
          <w:rFonts w:ascii="Century Schoolbook" w:hAnsi="Century Schoolbook" w:cs="Calibri"/>
          <w:sz w:val="22"/>
          <w:szCs w:val="22"/>
        </w:rPr>
        <w:t>, 91 Ga. App. 305 (1954).</w:t>
      </w:r>
      <w:r w:rsidR="009A5D19">
        <w:rPr>
          <w:rStyle w:val="eop"/>
          <w:rFonts w:ascii="Century Schoolbook" w:hAnsi="Century Schoolbook" w:cs="Calibri"/>
        </w:rPr>
        <w:t xml:space="preserve">  </w:t>
      </w:r>
    </w:p>
    <w:p w14:paraId="2398C1AC" w14:textId="5B70E917" w:rsidR="00055E5D" w:rsidRDefault="00055E5D">
      <w:pPr>
        <w:pStyle w:val="FootnoteText"/>
      </w:pPr>
    </w:p>
  </w:footnote>
  <w:footnote w:id="9">
    <w:p w14:paraId="7B55A0F2" w14:textId="2AB4998F" w:rsidR="00685EDB" w:rsidRPr="00EE4412" w:rsidRDefault="00685EDB" w:rsidP="00685EDB">
      <w:pPr>
        <w:pStyle w:val="FootnoteText"/>
        <w:rPr>
          <w:rFonts w:ascii="Century Schoolbook" w:hAnsi="Century Schoolbook"/>
          <w:sz w:val="22"/>
          <w:szCs w:val="22"/>
        </w:rPr>
      </w:pPr>
      <w:r w:rsidRPr="00EE4412">
        <w:rPr>
          <w:rStyle w:val="FootnoteReference"/>
          <w:rFonts w:ascii="Century Schoolbook" w:hAnsi="Century Schoolbook"/>
          <w:sz w:val="22"/>
          <w:szCs w:val="22"/>
        </w:rPr>
        <w:footnoteRef/>
      </w:r>
      <w:r w:rsidRPr="00EE4412">
        <w:rPr>
          <w:rFonts w:ascii="Century Schoolbook" w:hAnsi="Century Schoolbook"/>
          <w:sz w:val="22"/>
          <w:szCs w:val="22"/>
        </w:rPr>
        <w:t xml:space="preserve"> Here is how the Supreme Court describes the inconsistency in the caselaw: “[…]</w:t>
      </w:r>
      <w:r w:rsidR="00880D0A">
        <w:rPr>
          <w:rFonts w:ascii="Century Schoolbook" w:hAnsi="Century Schoolbook"/>
          <w:sz w:val="22"/>
          <w:szCs w:val="22"/>
        </w:rPr>
        <w:t xml:space="preserve"> </w:t>
      </w:r>
      <w:r w:rsidRPr="00EE4412">
        <w:rPr>
          <w:rFonts w:ascii="Century Schoolbook" w:hAnsi="Century Schoolbook"/>
          <w:sz w:val="22"/>
          <w:szCs w:val="22"/>
        </w:rPr>
        <w:t xml:space="preserve">within a few decades of the Farr decision, the law concerning injuries occurring during rest breaks or lunch breaks became confusing at best, if not altogether incoherent. An employee preparing to eat lunch on her employer's premises was in an employer-employee relationship for purposes of general liability, but not under the Act. See Holman, 201 Ga. at 459 (1), 39 S.E.2d </w:t>
      </w:r>
      <w:r w:rsidR="00880D0A" w:rsidRPr="00EE4412">
        <w:rPr>
          <w:rFonts w:ascii="Century Schoolbook" w:hAnsi="Century Schoolbook"/>
          <w:sz w:val="22"/>
          <w:szCs w:val="22"/>
        </w:rPr>
        <w:t>850;</w:t>
      </w:r>
      <w:r w:rsidRPr="00EE4412">
        <w:rPr>
          <w:rFonts w:ascii="Century Schoolbook" w:hAnsi="Century Schoolbook"/>
          <w:sz w:val="22"/>
          <w:szCs w:val="22"/>
        </w:rPr>
        <w:t xml:space="preserve"> Burt, 103 Ga. App. at 814, 120 S.E.2d 797. Yet even under the Act, that employee might have been acting "in the course of" her employment, see Farr, 180 Ga. at 270-271, 178 S.E. 728, but at the same time, that employee was engaged wholly in her personal affairs, and so any injury suffered by the employee would not "arise out of" employment, see id., unless, of course, that employee was on a business trip, in which case the injury probably would arise out of employment, see Thornton, 198 Ga. at 795, 32 S.E.2d 816.</w:t>
      </w:r>
      <w:r>
        <w:rPr>
          <w:rFonts w:ascii="Century Schoolbook" w:hAnsi="Century Schoolbook"/>
          <w:sz w:val="22"/>
          <w:szCs w:val="22"/>
        </w:rPr>
        <w:t xml:space="preserve"> […]</w:t>
      </w:r>
    </w:p>
  </w:footnote>
  <w:footnote w:id="10">
    <w:p w14:paraId="7ABCA1F3" w14:textId="53B98876" w:rsidR="00A916B1" w:rsidRDefault="00A916B1">
      <w:pPr>
        <w:pStyle w:val="FootnoteText"/>
      </w:pPr>
      <w:r w:rsidRPr="00EE4412">
        <w:rPr>
          <w:rStyle w:val="FootnoteReference"/>
          <w:rFonts w:ascii="Century Schoolbook" w:hAnsi="Century Schoolbook"/>
          <w:sz w:val="22"/>
          <w:szCs w:val="22"/>
        </w:rPr>
        <w:footnoteRef/>
      </w:r>
      <w:r w:rsidRPr="00EE4412">
        <w:rPr>
          <w:rFonts w:ascii="Century Schoolbook" w:hAnsi="Century Schoolbook"/>
          <w:sz w:val="22"/>
          <w:szCs w:val="22"/>
        </w:rPr>
        <w:t xml:space="preserve"> </w:t>
      </w:r>
      <w:r w:rsidR="003E0673" w:rsidRPr="00EE4412">
        <w:rPr>
          <w:rFonts w:ascii="Century Schoolbook" w:hAnsi="Century Schoolbook"/>
          <w:sz w:val="22"/>
          <w:szCs w:val="22"/>
        </w:rPr>
        <w:t xml:space="preserve">In </w:t>
      </w:r>
      <w:r w:rsidR="00880D0A" w:rsidRPr="00EE4412">
        <w:rPr>
          <w:rFonts w:ascii="Century Schoolbook" w:hAnsi="Century Schoolbook"/>
          <w:sz w:val="22"/>
          <w:szCs w:val="22"/>
        </w:rPr>
        <w:t>an</w:t>
      </w:r>
      <w:r w:rsidR="003E0673" w:rsidRPr="00EE4412">
        <w:rPr>
          <w:rFonts w:ascii="Century Schoolbook" w:hAnsi="Century Schoolbook"/>
          <w:sz w:val="22"/>
          <w:szCs w:val="22"/>
        </w:rPr>
        <w:t xml:space="preserve"> oddly arbitrary result, the ingress and egress rule was applied to Claimants that were</w:t>
      </w:r>
      <w:r w:rsidR="00D6015A" w:rsidRPr="00EE4412">
        <w:rPr>
          <w:rFonts w:ascii="Century Schoolbook" w:hAnsi="Century Schoolbook"/>
          <w:sz w:val="22"/>
          <w:szCs w:val="22"/>
        </w:rPr>
        <w:t xml:space="preserve"> ingressing on a lunchbreak, but not to claimants that were egressing on a lunchbreak. </w:t>
      </w:r>
      <w:r w:rsidRPr="00EE4412">
        <w:rPr>
          <w:rStyle w:val="eop"/>
          <w:rFonts w:ascii="Century Schoolbook" w:hAnsi="Century Schoolbook" w:cs="Calibri"/>
          <w:i/>
          <w:iCs/>
          <w:sz w:val="22"/>
          <w:szCs w:val="22"/>
        </w:rPr>
        <w:t>Aetna Cas. &amp; Sur Co. v. Honea</w:t>
      </w:r>
      <w:r w:rsidRPr="00EE4412">
        <w:rPr>
          <w:rStyle w:val="eop"/>
          <w:rFonts w:ascii="Century Schoolbook" w:hAnsi="Century Schoolbook" w:cs="Calibri"/>
          <w:sz w:val="22"/>
          <w:szCs w:val="22"/>
        </w:rPr>
        <w:t xml:space="preserve">, 71 Ga. App. 569, (1944); </w:t>
      </w:r>
      <w:r w:rsidRPr="00EE4412">
        <w:rPr>
          <w:rStyle w:val="eop"/>
          <w:rFonts w:ascii="Century Schoolbook" w:hAnsi="Century Schoolbook" w:cs="Calibri"/>
          <w:i/>
          <w:iCs/>
          <w:sz w:val="22"/>
          <w:szCs w:val="22"/>
        </w:rPr>
        <w:t>Travelers Ins. Co. v Smith</w:t>
      </w:r>
      <w:r w:rsidRPr="00EE4412">
        <w:rPr>
          <w:rStyle w:val="eop"/>
          <w:rFonts w:ascii="Century Schoolbook" w:hAnsi="Century Schoolbook" w:cs="Calibri"/>
          <w:sz w:val="22"/>
          <w:szCs w:val="22"/>
        </w:rPr>
        <w:t>, 91 Ga. App. 305 (1954).</w:t>
      </w:r>
      <w:r w:rsidR="00BD07BB">
        <w:rPr>
          <w:rStyle w:val="eop"/>
          <w:rFonts w:ascii="Century Schoolbook" w:hAnsi="Century Schoolbook" w:cs="Calibri"/>
        </w:rPr>
        <w:t xml:space="preserve">  </w:t>
      </w:r>
    </w:p>
  </w:footnote>
  <w:footnote w:id="11">
    <w:p w14:paraId="60AC2C01" w14:textId="09FC49D4" w:rsidR="006430B2" w:rsidRPr="00EE4412" w:rsidRDefault="006430B2">
      <w:pPr>
        <w:pStyle w:val="FootnoteText"/>
        <w:rPr>
          <w:rFonts w:ascii="Century Schoolbook" w:hAnsi="Century Schoolbook"/>
          <w:sz w:val="22"/>
          <w:szCs w:val="22"/>
        </w:rPr>
      </w:pPr>
      <w:r w:rsidRPr="00EE4412">
        <w:rPr>
          <w:rStyle w:val="FootnoteReference"/>
          <w:rFonts w:ascii="Century Schoolbook" w:hAnsi="Century Schoolbook"/>
          <w:sz w:val="22"/>
          <w:szCs w:val="22"/>
        </w:rPr>
        <w:footnoteRef/>
      </w:r>
      <w:r w:rsidRPr="00EE4412">
        <w:rPr>
          <w:rFonts w:ascii="Century Schoolbook" w:hAnsi="Century Schoolbook"/>
          <w:sz w:val="22"/>
          <w:szCs w:val="22"/>
        </w:rPr>
        <w:t xml:space="preserve"> The Claimant was held not to have an accident arising out of employment</w:t>
      </w:r>
      <w:r w:rsidR="00485C4F" w:rsidRPr="00EE4412">
        <w:rPr>
          <w:rFonts w:ascii="Century Schoolbook" w:hAnsi="Century Schoolbook"/>
          <w:sz w:val="22"/>
          <w:szCs w:val="22"/>
        </w:rPr>
        <w:t>, even though she was egressing during a scheduled lunch break.</w:t>
      </w:r>
      <w:r w:rsidR="00397A7C" w:rsidRPr="00EE4412">
        <w:rPr>
          <w:rFonts w:ascii="Century Schoolbook" w:hAnsi="Century Schoolbook"/>
          <w:sz w:val="22"/>
          <w:szCs w:val="22"/>
        </w:rPr>
        <w:t xml:space="preserve"> </w:t>
      </w:r>
      <w:r w:rsidR="009429E5" w:rsidRPr="00EE4412">
        <w:rPr>
          <w:rFonts w:ascii="Century Schoolbook" w:hAnsi="Century Schoolbook"/>
          <w:sz w:val="22"/>
          <w:szCs w:val="22"/>
        </w:rPr>
        <w:t>However, t</w:t>
      </w:r>
      <w:r w:rsidR="00397A7C" w:rsidRPr="00EE4412">
        <w:rPr>
          <w:rFonts w:ascii="Century Schoolbook" w:hAnsi="Century Schoolbook"/>
          <w:sz w:val="22"/>
          <w:szCs w:val="22"/>
        </w:rPr>
        <w:t xml:space="preserve">his 1944 case </w:t>
      </w:r>
      <w:r w:rsidR="009C2618" w:rsidRPr="00EE4412">
        <w:rPr>
          <w:rFonts w:ascii="Century Schoolbook" w:hAnsi="Century Schoolbook"/>
          <w:sz w:val="22"/>
          <w:szCs w:val="22"/>
        </w:rPr>
        <w:t>predates</w:t>
      </w:r>
      <w:r w:rsidR="00397A7C" w:rsidRPr="00EE4412">
        <w:rPr>
          <w:rFonts w:ascii="Century Schoolbook" w:hAnsi="Century Schoolbook"/>
          <w:sz w:val="22"/>
          <w:szCs w:val="22"/>
        </w:rPr>
        <w:t xml:space="preserve"> the ingress and egress rule</w:t>
      </w:r>
      <w:r w:rsidR="009429E5" w:rsidRPr="00EE4412">
        <w:rPr>
          <w:rFonts w:ascii="Century Schoolbook" w:hAnsi="Century Schoolbook"/>
          <w:sz w:val="22"/>
          <w:szCs w:val="22"/>
        </w:rPr>
        <w:t xml:space="preserve"> in Georgia</w:t>
      </w:r>
      <w:r w:rsidR="0044404D" w:rsidRPr="00EE4412">
        <w:rPr>
          <w:rFonts w:ascii="Century Schoolbook" w:hAnsi="Century Schoolbook"/>
          <w:sz w:val="22"/>
          <w:szCs w:val="22"/>
        </w:rPr>
        <w:t>.</w:t>
      </w:r>
    </w:p>
  </w:footnote>
  <w:footnote w:id="12">
    <w:p w14:paraId="6A1FCFC8" w14:textId="30095E13" w:rsidR="000065B6" w:rsidRPr="00EE4412" w:rsidRDefault="000065B6">
      <w:pPr>
        <w:pStyle w:val="FootnoteText"/>
        <w:rPr>
          <w:rFonts w:ascii="Century Schoolbook" w:hAnsi="Century Schoolbook"/>
          <w:sz w:val="22"/>
          <w:szCs w:val="22"/>
        </w:rPr>
      </w:pPr>
      <w:r w:rsidRPr="00EE4412">
        <w:rPr>
          <w:rStyle w:val="FootnoteReference"/>
          <w:rFonts w:ascii="Century Schoolbook" w:hAnsi="Century Schoolbook"/>
          <w:sz w:val="22"/>
          <w:szCs w:val="22"/>
        </w:rPr>
        <w:footnoteRef/>
      </w:r>
      <w:r w:rsidRPr="00EE4412">
        <w:rPr>
          <w:rFonts w:ascii="Century Schoolbook" w:hAnsi="Century Schoolbook"/>
          <w:sz w:val="22"/>
          <w:szCs w:val="22"/>
        </w:rPr>
        <w:t xml:space="preserve"> The Appellate Division Award found that Frett’s accident arose “in the course of employment”, but that it did not “arise out of” employment.</w:t>
      </w:r>
    </w:p>
  </w:footnote>
  <w:footnote w:id="13">
    <w:p w14:paraId="14CE899E" w14:textId="1ADBE3E9" w:rsidR="00FF2CA9" w:rsidRPr="00EE4412" w:rsidRDefault="00FF2CA9">
      <w:pPr>
        <w:pStyle w:val="FootnoteText"/>
        <w:rPr>
          <w:rFonts w:ascii="Century Schoolbook" w:hAnsi="Century Schoolbook"/>
          <w:sz w:val="22"/>
          <w:szCs w:val="22"/>
        </w:rPr>
      </w:pPr>
      <w:r w:rsidRPr="00EE4412">
        <w:rPr>
          <w:rStyle w:val="FootnoteReference"/>
          <w:rFonts w:ascii="Century Schoolbook" w:hAnsi="Century Schoolbook"/>
          <w:sz w:val="22"/>
          <w:szCs w:val="22"/>
        </w:rPr>
        <w:footnoteRef/>
      </w:r>
      <w:r w:rsidRPr="00EE4412">
        <w:rPr>
          <w:rFonts w:ascii="Century Schoolbook" w:hAnsi="Century Schoolbook"/>
          <w:sz w:val="22"/>
          <w:szCs w:val="22"/>
        </w:rPr>
        <w:t xml:space="preserve"> </w:t>
      </w:r>
      <w:r w:rsidRPr="00EE4412">
        <w:rPr>
          <w:rStyle w:val="normaltextrun"/>
          <w:rFonts w:ascii="Century Schoolbook" w:hAnsi="Century Schoolbook" w:cs="Calibri"/>
          <w:sz w:val="22"/>
          <w:szCs w:val="22"/>
        </w:rPr>
        <w:t>Generally, going and coming to work is not covered under the workers compensation act, but the “ingress and egress” exception holds that there is coverage while an employee is ingressing or egressing from the work premises.</w:t>
      </w:r>
    </w:p>
  </w:footnote>
  <w:footnote w:id="14">
    <w:p w14:paraId="3D6D332D" w14:textId="33A4B7A3" w:rsidR="008F2105" w:rsidRDefault="008F2105" w:rsidP="008F2105">
      <w:pPr>
        <w:pStyle w:val="FootnoteText"/>
      </w:pPr>
      <w:r w:rsidRPr="00EE4412">
        <w:rPr>
          <w:rStyle w:val="FootnoteReference"/>
          <w:rFonts w:ascii="Century Schoolbook" w:hAnsi="Century Schoolbook"/>
          <w:sz w:val="22"/>
          <w:szCs w:val="22"/>
        </w:rPr>
        <w:footnoteRef/>
      </w:r>
      <w:r w:rsidRPr="00EE4412">
        <w:rPr>
          <w:rFonts w:ascii="Century Schoolbook" w:hAnsi="Century Schoolbook"/>
          <w:sz w:val="22"/>
          <w:szCs w:val="22"/>
        </w:rPr>
        <w:t xml:space="preserve"> </w:t>
      </w:r>
      <w:r w:rsidR="004E6329" w:rsidRPr="00EE4412">
        <w:rPr>
          <w:rFonts w:ascii="Century Schoolbook" w:hAnsi="Century Schoolbook"/>
          <w:sz w:val="22"/>
          <w:szCs w:val="22"/>
        </w:rPr>
        <w:t>Georgia’s</w:t>
      </w:r>
      <w:r w:rsidRPr="00EE4412">
        <w:rPr>
          <w:rFonts w:ascii="Century Schoolbook" w:hAnsi="Century Schoolbook"/>
          <w:sz w:val="22"/>
          <w:szCs w:val="22"/>
        </w:rPr>
        <w:t xml:space="preserve"> workers compensation coverage for</w:t>
      </w:r>
      <w:r w:rsidR="004E6329">
        <w:rPr>
          <w:rFonts w:ascii="Century Schoolbook" w:hAnsi="Century Schoolbook"/>
          <w:sz w:val="22"/>
          <w:szCs w:val="22"/>
        </w:rPr>
        <w:t>mula</w:t>
      </w:r>
      <w:r w:rsidRPr="00EE4412">
        <w:rPr>
          <w:rFonts w:ascii="Century Schoolbook" w:hAnsi="Century Schoolbook"/>
          <w:sz w:val="22"/>
          <w:szCs w:val="22"/>
        </w:rPr>
        <w:t xml:space="preserve"> </w:t>
      </w:r>
      <w:r w:rsidR="00A248BA" w:rsidRPr="00EE4412">
        <w:rPr>
          <w:rFonts w:ascii="Century Schoolbook" w:hAnsi="Century Schoolbook"/>
          <w:sz w:val="22"/>
          <w:szCs w:val="22"/>
        </w:rPr>
        <w:t>is</w:t>
      </w:r>
      <w:r w:rsidRPr="00EE4412">
        <w:rPr>
          <w:rFonts w:ascii="Century Schoolbook" w:hAnsi="Century Schoolbook"/>
          <w:sz w:val="22"/>
          <w:szCs w:val="22"/>
        </w:rPr>
        <w:t xml:space="preserve"> an accident (1) </w:t>
      </w:r>
      <w:r w:rsidRPr="00EE4412">
        <w:rPr>
          <w:rFonts w:ascii="Century Schoolbook" w:hAnsi="Century Schoolbook"/>
          <w:i/>
          <w:iCs/>
          <w:sz w:val="22"/>
          <w:szCs w:val="22"/>
        </w:rPr>
        <w:t>arising out of</w:t>
      </w:r>
      <w:r w:rsidRPr="00EE4412">
        <w:rPr>
          <w:rFonts w:ascii="Century Schoolbook" w:hAnsi="Century Schoolbook"/>
          <w:sz w:val="22"/>
          <w:szCs w:val="22"/>
        </w:rPr>
        <w:t xml:space="preserve"> AND (2) </w:t>
      </w:r>
      <w:r w:rsidRPr="00EE4412">
        <w:rPr>
          <w:rFonts w:ascii="Century Schoolbook" w:hAnsi="Century Schoolbook"/>
          <w:i/>
          <w:iCs/>
          <w:sz w:val="22"/>
          <w:szCs w:val="22"/>
        </w:rPr>
        <w:t xml:space="preserve">in the course of </w:t>
      </w:r>
      <w:r w:rsidRPr="00EE4412">
        <w:rPr>
          <w:rFonts w:ascii="Century Schoolbook" w:hAnsi="Century Schoolbook"/>
          <w:sz w:val="22"/>
          <w:szCs w:val="22"/>
        </w:rPr>
        <w:t>employment</w:t>
      </w:r>
    </w:p>
  </w:footnote>
  <w:footnote w:id="15">
    <w:p w14:paraId="707F1A59" w14:textId="3F8D9B9A" w:rsidR="00885117" w:rsidRDefault="00885117">
      <w:pPr>
        <w:pStyle w:val="FootnoteText"/>
      </w:pPr>
      <w:r>
        <w:rPr>
          <w:rStyle w:val="FootnoteReference"/>
        </w:rPr>
        <w:footnoteRef/>
      </w:r>
      <w:r>
        <w:t xml:space="preserve"> However, employer control is not determinative of the “course of” question. </w:t>
      </w:r>
      <w:r w:rsidRPr="00885117">
        <w:t xml:space="preserve">"When analyzing the 'in the course of' prerequisite, courts generally focus on “the nature of the employee's activity at the time of the injury, not whether she was paid for it or was free to do something else."  </w:t>
      </w:r>
    </w:p>
  </w:footnote>
  <w:footnote w:id="16">
    <w:p w14:paraId="5224C598" w14:textId="6ED35A76" w:rsidR="003A14F2" w:rsidRDefault="003A14F2">
      <w:pPr>
        <w:pStyle w:val="FootnoteText"/>
      </w:pPr>
      <w:r>
        <w:rPr>
          <w:rStyle w:val="FootnoteReference"/>
        </w:rPr>
        <w:footnoteRef/>
      </w:r>
      <w:r>
        <w:t xml:space="preserve"> </w:t>
      </w:r>
      <w:r w:rsidRPr="00F03729">
        <w:rPr>
          <w:rStyle w:val="eop"/>
          <w:rFonts w:ascii="Century Schoolbook" w:hAnsi="Century Schoolbook" w:cs="Calibri"/>
        </w:rPr>
        <w:t>Frett v. State Farm Emp. Workers' Comp., 844 S.E.2d 749 (Ga. 2020)</w:t>
      </w:r>
      <w:r>
        <w:rPr>
          <w:rStyle w:val="eop"/>
          <w:rFonts w:ascii="Century Schoolbook" w:hAnsi="Century Schoolbook" w:cs="Calibri"/>
        </w:rPr>
        <w:t>.</w:t>
      </w:r>
    </w:p>
  </w:footnote>
  <w:footnote w:id="17">
    <w:p w14:paraId="7E6BC10B" w14:textId="77777777" w:rsidR="004959CB" w:rsidRPr="0025470B" w:rsidRDefault="004959CB" w:rsidP="00977C1C">
      <w:pPr>
        <w:pStyle w:val="paragraph"/>
        <w:spacing w:before="0" w:beforeAutospacing="0" w:after="0" w:afterAutospacing="0"/>
        <w:textAlignment w:val="baseline"/>
        <w:rPr>
          <w:rStyle w:val="normaltextrun"/>
          <w:rFonts w:ascii="Century Schoolbook" w:hAnsi="Century Schoolbook" w:cs="Calibri"/>
          <w:sz w:val="22"/>
          <w:szCs w:val="22"/>
        </w:rPr>
      </w:pPr>
      <w:r w:rsidRPr="0025470B">
        <w:rPr>
          <w:rStyle w:val="FootnoteReference"/>
          <w:sz w:val="22"/>
          <w:szCs w:val="22"/>
        </w:rPr>
        <w:footnoteRef/>
      </w:r>
      <w:r w:rsidRPr="0025470B">
        <w:rPr>
          <w:sz w:val="22"/>
          <w:szCs w:val="22"/>
        </w:rPr>
        <w:t xml:space="preserve"> </w:t>
      </w:r>
      <w:r w:rsidRPr="0025470B">
        <w:rPr>
          <w:rStyle w:val="normaltextrun"/>
          <w:rFonts w:ascii="Century Schoolbook" w:hAnsi="Century Schoolbook" w:cs="Calibri"/>
          <w:sz w:val="22"/>
          <w:szCs w:val="22"/>
        </w:rPr>
        <w:t>For a proper analysis of this case, however, each prerequisite to compensation must be examined." Frett v. State Farm Emp. Workers' Comp., 309 Ga. 44, 844 S.E.2d 749 (Ga. 2020)</w:t>
      </w:r>
    </w:p>
    <w:p w14:paraId="1461D9C0" w14:textId="06D9C1C7" w:rsidR="004959CB" w:rsidRDefault="004959CB">
      <w:pPr>
        <w:pStyle w:val="FootnoteText"/>
      </w:pPr>
    </w:p>
  </w:footnote>
  <w:footnote w:id="18">
    <w:p w14:paraId="1B098589" w14:textId="4E948392" w:rsidR="005E03F6" w:rsidRPr="0025470B" w:rsidRDefault="005E03F6" w:rsidP="0025470B">
      <w:pPr>
        <w:pStyle w:val="FootnoteText"/>
        <w:rPr>
          <w:rFonts w:ascii="Century Schoolbook" w:hAnsi="Century Schoolbook"/>
          <w:sz w:val="22"/>
          <w:szCs w:val="22"/>
        </w:rPr>
      </w:pPr>
      <w:r w:rsidRPr="0025470B">
        <w:rPr>
          <w:rStyle w:val="FootnoteReference"/>
          <w:rFonts w:ascii="Century Schoolbook" w:hAnsi="Century Schoolbook"/>
          <w:sz w:val="22"/>
          <w:szCs w:val="22"/>
        </w:rPr>
        <w:footnoteRef/>
      </w:r>
      <w:r w:rsidRPr="0025470B">
        <w:rPr>
          <w:rFonts w:ascii="Century Schoolbook" w:hAnsi="Century Schoolbook"/>
          <w:sz w:val="22"/>
          <w:szCs w:val="22"/>
        </w:rPr>
        <w:t xml:space="preserve"> </w:t>
      </w:r>
      <w:r w:rsidRPr="0025470B">
        <w:rPr>
          <w:rStyle w:val="normaltextrun"/>
          <w:rFonts w:ascii="Century Schoolbook" w:hAnsi="Century Schoolbook" w:cs="Calibri"/>
          <w:sz w:val="22"/>
          <w:szCs w:val="22"/>
        </w:rPr>
        <w:t>Frett v. State Farm Emp. Workers' Comp.</w:t>
      </w:r>
      <w:r w:rsidR="00A248BA" w:rsidRPr="0025470B">
        <w:rPr>
          <w:rStyle w:val="normaltextrun"/>
          <w:rFonts w:ascii="Century Schoolbook" w:hAnsi="Century Schoolbook" w:cs="Calibri"/>
          <w:sz w:val="22"/>
          <w:szCs w:val="22"/>
        </w:rPr>
        <w:t>, 844</w:t>
      </w:r>
      <w:r w:rsidRPr="0025470B">
        <w:rPr>
          <w:rStyle w:val="normaltextrun"/>
          <w:rFonts w:ascii="Century Schoolbook" w:hAnsi="Century Schoolbook" w:cs="Calibri"/>
          <w:sz w:val="22"/>
          <w:szCs w:val="22"/>
        </w:rPr>
        <w:t xml:space="preserve"> S.E.2d at 752</w:t>
      </w:r>
    </w:p>
  </w:footnote>
  <w:footnote w:id="19">
    <w:p w14:paraId="471D42D5" w14:textId="24C8CE78" w:rsidR="002C555B" w:rsidRPr="0025470B" w:rsidRDefault="002C555B" w:rsidP="0025470B">
      <w:pPr>
        <w:pStyle w:val="FootnoteText"/>
        <w:rPr>
          <w:rFonts w:ascii="Century Schoolbook" w:hAnsi="Century Schoolbook"/>
          <w:sz w:val="22"/>
          <w:szCs w:val="22"/>
        </w:rPr>
      </w:pPr>
      <w:r w:rsidRPr="0025470B">
        <w:rPr>
          <w:rStyle w:val="FootnoteReference"/>
          <w:rFonts w:ascii="Century Schoolbook" w:hAnsi="Century Schoolbook"/>
          <w:sz w:val="22"/>
          <w:szCs w:val="22"/>
        </w:rPr>
        <w:footnoteRef/>
      </w:r>
      <w:r w:rsidRPr="0025470B">
        <w:rPr>
          <w:rFonts w:ascii="Century Schoolbook" w:hAnsi="Century Schoolbook"/>
          <w:sz w:val="22"/>
          <w:szCs w:val="22"/>
        </w:rPr>
        <w:t xml:space="preserve"> </w:t>
      </w:r>
      <w:r w:rsidR="007529AA" w:rsidRPr="0025470B">
        <w:rPr>
          <w:rStyle w:val="normaltextrun"/>
          <w:rFonts w:ascii="Century Schoolbook" w:hAnsi="Century Schoolbook" w:cs="Calibri"/>
          <w:sz w:val="22"/>
          <w:szCs w:val="22"/>
        </w:rPr>
        <w:t>Id.</w:t>
      </w:r>
    </w:p>
  </w:footnote>
  <w:footnote w:id="20">
    <w:p w14:paraId="7C77C213" w14:textId="62029750" w:rsidR="00526BF9" w:rsidRPr="00616F35" w:rsidRDefault="00526BF9" w:rsidP="00616F35">
      <w:pPr>
        <w:pStyle w:val="FootnoteText"/>
        <w:rPr>
          <w:rFonts w:ascii="Century Schoolbook" w:hAnsi="Century Schoolbook"/>
          <w:sz w:val="22"/>
          <w:szCs w:val="22"/>
        </w:rPr>
      </w:pPr>
      <w:r>
        <w:rPr>
          <w:rStyle w:val="FootnoteReference"/>
        </w:rPr>
        <w:footnoteRef/>
      </w:r>
      <w:r>
        <w:t xml:space="preserve"> </w:t>
      </w:r>
      <w:r w:rsidRPr="00BD7D2A">
        <w:rPr>
          <w:rStyle w:val="eop"/>
          <w:rFonts w:ascii="Century Schoolbook" w:hAnsi="Century Schoolbook" w:cs="Calibri"/>
          <w:i/>
          <w:iCs/>
        </w:rPr>
        <w:t>Stevens</w:t>
      </w:r>
      <w:r w:rsidRPr="002B5E33">
        <w:rPr>
          <w:rStyle w:val="eop"/>
          <w:rFonts w:ascii="Century Schoolbook" w:hAnsi="Century Schoolbook" w:cs="Calibri"/>
        </w:rPr>
        <w:t>, 598 S.</w:t>
      </w:r>
      <w:r w:rsidRPr="00616F35">
        <w:rPr>
          <w:rStyle w:val="eop"/>
          <w:rFonts w:ascii="Century Schoolbook" w:hAnsi="Century Schoolbook" w:cs="Calibri"/>
          <w:sz w:val="22"/>
          <w:szCs w:val="22"/>
        </w:rPr>
        <w:t>E.2d 456, 278 Ga. 166.</w:t>
      </w:r>
    </w:p>
  </w:footnote>
  <w:footnote w:id="21">
    <w:p w14:paraId="0A8E4125" w14:textId="45DB0DCA" w:rsidR="002C26F8" w:rsidRPr="00616F35" w:rsidRDefault="002C26F8" w:rsidP="00616F35">
      <w:pPr>
        <w:pStyle w:val="paragraph"/>
        <w:spacing w:after="0"/>
        <w:textAlignment w:val="baseline"/>
        <w:rPr>
          <w:rFonts w:ascii="Century Schoolbook" w:hAnsi="Century Schoolbook"/>
          <w:sz w:val="22"/>
          <w:szCs w:val="22"/>
        </w:rPr>
      </w:pPr>
      <w:r w:rsidRPr="00616F35">
        <w:rPr>
          <w:rStyle w:val="FootnoteReference"/>
          <w:rFonts w:ascii="Century Schoolbook" w:hAnsi="Century Schoolbook"/>
          <w:sz w:val="22"/>
          <w:szCs w:val="22"/>
        </w:rPr>
        <w:footnoteRef/>
      </w:r>
      <w:r w:rsidRPr="00616F35">
        <w:rPr>
          <w:rFonts w:ascii="Century Schoolbook" w:hAnsi="Century Schoolbook"/>
          <w:sz w:val="22"/>
          <w:szCs w:val="22"/>
        </w:rPr>
        <w:t xml:space="preserve"> “The clearest cases of compensability are those in which the lunch-time injury is traceable to a danger inherent in the employment environment.” Larson's at § 21.02 (2019); See Nicholson v. Industrial Comm’n, 76 Ariz. 105, 259 P.2d 547 (1953); Travelers Ins. Co. v. McAllister, 345 S.W.2d 355 (Tex. Civ. App. 1961).</w:t>
      </w:r>
    </w:p>
  </w:footnote>
  <w:footnote w:id="22">
    <w:p w14:paraId="0F5E47A7" w14:textId="016927F8" w:rsidR="009D2CE8" w:rsidRPr="00BC2C0D" w:rsidRDefault="009D2CE8">
      <w:pPr>
        <w:pStyle w:val="FootnoteText"/>
        <w:rPr>
          <w:rFonts w:ascii="Century Schoolbook" w:hAnsi="Century Schoolbook"/>
          <w:sz w:val="22"/>
          <w:szCs w:val="22"/>
        </w:rPr>
      </w:pPr>
      <w:r w:rsidRPr="00BC2C0D">
        <w:rPr>
          <w:rStyle w:val="FootnoteReference"/>
          <w:rFonts w:ascii="Century Schoolbook" w:hAnsi="Century Schoolbook"/>
          <w:sz w:val="22"/>
          <w:szCs w:val="22"/>
        </w:rPr>
        <w:footnoteRef/>
      </w:r>
      <w:r w:rsidRPr="00BC2C0D">
        <w:rPr>
          <w:rFonts w:ascii="Century Schoolbook" w:hAnsi="Century Schoolbook"/>
          <w:sz w:val="22"/>
          <w:szCs w:val="22"/>
        </w:rPr>
        <w:t xml:space="preserve"> </w:t>
      </w:r>
      <w:r w:rsidRPr="00BC2C0D">
        <w:rPr>
          <w:rFonts w:ascii="Century Schoolbook" w:hAnsi="Century Schoolbook" w:cs="Times New Roman"/>
          <w:i/>
          <w:iCs/>
          <w:sz w:val="22"/>
          <w:szCs w:val="22"/>
        </w:rPr>
        <w:t xml:space="preserve">United States Cas. Co. v Richardson, </w:t>
      </w:r>
      <w:r w:rsidRPr="00BC2C0D">
        <w:rPr>
          <w:rFonts w:ascii="Century Schoolbook" w:hAnsi="Century Schoolbook" w:cs="Times New Roman"/>
          <w:sz w:val="22"/>
          <w:szCs w:val="22"/>
        </w:rPr>
        <w:t>75 Ga. App 496.</w:t>
      </w:r>
    </w:p>
  </w:footnote>
  <w:footnote w:id="23">
    <w:p w14:paraId="51F533B5" w14:textId="29396C9C" w:rsidR="00766177" w:rsidRPr="00766177" w:rsidRDefault="00766177" w:rsidP="00766177">
      <w:pPr>
        <w:rPr>
          <w:rFonts w:ascii="Century Schoolbook" w:hAnsi="Century Schoolbook"/>
          <w:sz w:val="24"/>
          <w:szCs w:val="24"/>
        </w:rPr>
      </w:pPr>
      <w:r w:rsidRPr="00766177">
        <w:rPr>
          <w:rStyle w:val="FootnoteReference"/>
          <w:rFonts w:ascii="Century Schoolbook" w:hAnsi="Century Schoolbook"/>
          <w:sz w:val="24"/>
          <w:szCs w:val="24"/>
        </w:rPr>
        <w:footnoteRef/>
      </w:r>
      <w:r w:rsidRPr="00766177">
        <w:rPr>
          <w:rFonts w:ascii="Century Schoolbook" w:hAnsi="Century Schoolbook"/>
          <w:sz w:val="24"/>
          <w:szCs w:val="24"/>
        </w:rPr>
        <w:t xml:space="preserve"> 2 Larson's Workers' Compensation Law § 13.01</w:t>
      </w:r>
    </w:p>
  </w:footnote>
  <w:footnote w:id="24">
    <w:p w14:paraId="163859C0" w14:textId="24B3ED09" w:rsidR="00E2353E" w:rsidRPr="0025470B" w:rsidRDefault="001B538A" w:rsidP="00E2353E">
      <w:pPr>
        <w:pStyle w:val="NormalWeb"/>
        <w:shd w:val="clear" w:color="auto" w:fill="FFFFFF"/>
        <w:textAlignment w:val="baseline"/>
        <w:rPr>
          <w:rFonts w:ascii="Century Schoolbook" w:hAnsi="Century Schoolbook"/>
        </w:rPr>
      </w:pPr>
      <w:r w:rsidRPr="00766177">
        <w:rPr>
          <w:rStyle w:val="FootnoteReference"/>
          <w:rFonts w:ascii="Century Schoolbook" w:hAnsi="Century Schoolbook"/>
          <w:sz w:val="24"/>
          <w:szCs w:val="24"/>
        </w:rPr>
        <w:footnoteRef/>
      </w:r>
      <w:r w:rsidRPr="00766177">
        <w:rPr>
          <w:rFonts w:ascii="Century Schoolbook" w:hAnsi="Century Schoolbook"/>
          <w:sz w:val="24"/>
          <w:szCs w:val="24"/>
        </w:rPr>
        <w:t xml:space="preserve"> </w:t>
      </w:r>
      <w:r w:rsidR="00E2353E" w:rsidRPr="00766177">
        <w:rPr>
          <w:rFonts w:ascii="Century Schoolbook" w:hAnsi="Century Schoolbook"/>
          <w:sz w:val="24"/>
          <w:szCs w:val="24"/>
        </w:rPr>
        <w:t>For example</w:t>
      </w:r>
      <w:r w:rsidR="00753D50" w:rsidRPr="00766177">
        <w:rPr>
          <w:rFonts w:ascii="Century Schoolbook" w:hAnsi="Century Schoolbook"/>
          <w:sz w:val="24"/>
          <w:szCs w:val="24"/>
        </w:rPr>
        <w:t>,</w:t>
      </w:r>
      <w:r w:rsidR="00E2353E" w:rsidRPr="00766177">
        <w:rPr>
          <w:rFonts w:ascii="Century Schoolbook" w:hAnsi="Century Schoolbook"/>
          <w:color w:val="212121"/>
          <w:sz w:val="24"/>
          <w:szCs w:val="24"/>
        </w:rPr>
        <w:t xml:space="preserve"> </w:t>
      </w:r>
      <w:r w:rsidR="00753D50" w:rsidRPr="00766177">
        <w:rPr>
          <w:rFonts w:ascii="Century Schoolbook" w:hAnsi="Century Schoolbook"/>
          <w:color w:val="212121"/>
          <w:sz w:val="24"/>
          <w:szCs w:val="24"/>
        </w:rPr>
        <w:t>in</w:t>
      </w:r>
      <w:r w:rsidR="00E2353E" w:rsidRPr="00766177">
        <w:rPr>
          <w:rFonts w:ascii="Century Schoolbook" w:hAnsi="Century Schoolbook"/>
          <w:color w:val="212121"/>
          <w:sz w:val="24"/>
          <w:szCs w:val="24"/>
        </w:rPr>
        <w:t> </w:t>
      </w:r>
      <w:r w:rsidR="00E2353E" w:rsidRPr="00766177">
        <w:rPr>
          <w:rStyle w:val="ssit"/>
          <w:rFonts w:ascii="Century Schoolbook" w:hAnsi="Century Schoolbook"/>
          <w:i/>
          <w:iCs/>
          <w:color w:val="212121"/>
          <w:sz w:val="24"/>
          <w:szCs w:val="24"/>
          <w:bdr w:val="none" w:sz="0" w:space="0" w:color="auto" w:frame="1"/>
        </w:rPr>
        <w:t>Krause v. Swartwood,</w:t>
      </w:r>
      <w:r w:rsidR="00E2353E" w:rsidRPr="00766177">
        <w:rPr>
          <w:rFonts w:ascii="Century Schoolbook" w:hAnsi="Century Schoolbook"/>
          <w:color w:val="212121"/>
          <w:sz w:val="24"/>
          <w:szCs w:val="24"/>
        </w:rPr>
        <w:t xml:space="preserve"> a physician’s secretary, was requested by her employer to take her lunch at a nearby restaurant because of his absence, and to have phone calls from the office transferred there. The lunch was to be paid for by the employer. The secretary suffered chemical poisoning from coffee made in the restaurant, and compensation was awarded by</w:t>
      </w:r>
      <w:r w:rsidR="00E2353E" w:rsidRPr="0025470B">
        <w:rPr>
          <w:rFonts w:ascii="Century Schoolbook" w:hAnsi="Century Schoolbook"/>
          <w:color w:val="212121"/>
        </w:rPr>
        <w:t xml:space="preserve"> the Supreme Court of Minnesota, reversing the Industrial Commission’s denial.</w:t>
      </w:r>
    </w:p>
    <w:p w14:paraId="11D32054" w14:textId="0AD7C610" w:rsidR="001B538A" w:rsidRDefault="001B538A" w:rsidP="00E2353E">
      <w:pPr>
        <w:pStyle w:val="NormalWeb"/>
        <w:shd w:val="clear" w:color="auto" w:fill="FFFFFF"/>
        <w:textAlignment w:val="baseline"/>
      </w:pPr>
    </w:p>
  </w:footnote>
  <w:footnote w:id="25">
    <w:p w14:paraId="411F92EA" w14:textId="50EE1588" w:rsidR="00195849" w:rsidRDefault="00195849">
      <w:pPr>
        <w:pStyle w:val="FootnoteText"/>
      </w:pPr>
      <w:r>
        <w:rPr>
          <w:rStyle w:val="FootnoteReference"/>
        </w:rPr>
        <w:footnoteRef/>
      </w:r>
      <w:r>
        <w:t xml:space="preserve"> </w:t>
      </w:r>
      <w:r w:rsidRPr="009021E4">
        <w:rPr>
          <w:rFonts w:ascii="Century Schoolbook" w:hAnsi="Century Schoolbook"/>
          <w:i/>
          <w:iCs/>
          <w:sz w:val="22"/>
          <w:szCs w:val="22"/>
        </w:rPr>
        <w:t>Larson Workers’ Compensation Law</w:t>
      </w:r>
      <w:r w:rsidRPr="00CE5E09">
        <w:rPr>
          <w:rFonts w:ascii="Century Schoolbook" w:hAnsi="Century Schoolbook"/>
          <w:sz w:val="22"/>
          <w:szCs w:val="22"/>
        </w:rPr>
        <w:t xml:space="preserve"> § </w:t>
      </w:r>
      <w:r w:rsidR="00E02057">
        <w:rPr>
          <w:rFonts w:ascii="Century Schoolbook" w:hAnsi="Century Schoolbook"/>
          <w:sz w:val="22"/>
          <w:szCs w:val="22"/>
        </w:rPr>
        <w:t>13.05</w:t>
      </w:r>
      <w:r w:rsidRPr="00CE5E09">
        <w:rPr>
          <w:rFonts w:ascii="Century Schoolbook" w:hAnsi="Century Schoolbook"/>
          <w:sz w:val="22"/>
          <w:szCs w:val="22"/>
        </w:rPr>
        <w:t xml:space="preserve"> (LexisNexis).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D07B1"/>
    <w:multiLevelType w:val="hybridMultilevel"/>
    <w:tmpl w:val="11DA43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7B3592"/>
    <w:multiLevelType w:val="hybridMultilevel"/>
    <w:tmpl w:val="07E056FE"/>
    <w:lvl w:ilvl="0" w:tplc="D910B8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055164F"/>
    <w:multiLevelType w:val="hybridMultilevel"/>
    <w:tmpl w:val="022A63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5417A29"/>
    <w:multiLevelType w:val="hybridMultilevel"/>
    <w:tmpl w:val="8D5EF26C"/>
    <w:lvl w:ilvl="0" w:tplc="6F9C428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9EA03BE"/>
    <w:multiLevelType w:val="multilevel"/>
    <w:tmpl w:val="6F407B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2B8122A"/>
    <w:multiLevelType w:val="multilevel"/>
    <w:tmpl w:val="267004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3E1326D"/>
    <w:multiLevelType w:val="hybridMultilevel"/>
    <w:tmpl w:val="7DF21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01767828">
    <w:abstractNumId w:val="4"/>
  </w:num>
  <w:num w:numId="2" w16cid:durableId="1348827719">
    <w:abstractNumId w:val="5"/>
  </w:num>
  <w:num w:numId="3" w16cid:durableId="403573401">
    <w:abstractNumId w:val="1"/>
  </w:num>
  <w:num w:numId="4" w16cid:durableId="1768425319">
    <w:abstractNumId w:val="3"/>
  </w:num>
  <w:num w:numId="5" w16cid:durableId="586186092">
    <w:abstractNumId w:val="2"/>
  </w:num>
  <w:num w:numId="6" w16cid:durableId="211888084">
    <w:abstractNumId w:val="0"/>
  </w:num>
  <w:num w:numId="7" w16cid:durableId="113286506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99F"/>
    <w:rsid w:val="00000448"/>
    <w:rsid w:val="0000277A"/>
    <w:rsid w:val="000028D6"/>
    <w:rsid w:val="00003165"/>
    <w:rsid w:val="00003491"/>
    <w:rsid w:val="000065B6"/>
    <w:rsid w:val="000066C1"/>
    <w:rsid w:val="00006765"/>
    <w:rsid w:val="000132E5"/>
    <w:rsid w:val="000136AE"/>
    <w:rsid w:val="0001623A"/>
    <w:rsid w:val="00016465"/>
    <w:rsid w:val="00016D2A"/>
    <w:rsid w:val="00017275"/>
    <w:rsid w:val="00020A3B"/>
    <w:rsid w:val="00022A4B"/>
    <w:rsid w:val="00022C01"/>
    <w:rsid w:val="000239F7"/>
    <w:rsid w:val="00023E60"/>
    <w:rsid w:val="00023F88"/>
    <w:rsid w:val="00024C30"/>
    <w:rsid w:val="00025116"/>
    <w:rsid w:val="0002514A"/>
    <w:rsid w:val="00025BEE"/>
    <w:rsid w:val="00026334"/>
    <w:rsid w:val="00030769"/>
    <w:rsid w:val="000317B9"/>
    <w:rsid w:val="00031E40"/>
    <w:rsid w:val="00034A93"/>
    <w:rsid w:val="00036F06"/>
    <w:rsid w:val="00037B79"/>
    <w:rsid w:val="00037FFE"/>
    <w:rsid w:val="00042AB0"/>
    <w:rsid w:val="000539E8"/>
    <w:rsid w:val="0005467B"/>
    <w:rsid w:val="00055DFB"/>
    <w:rsid w:val="00055E5D"/>
    <w:rsid w:val="00056C56"/>
    <w:rsid w:val="0005715D"/>
    <w:rsid w:val="00061144"/>
    <w:rsid w:val="000623A2"/>
    <w:rsid w:val="00064A81"/>
    <w:rsid w:val="00064C8D"/>
    <w:rsid w:val="00064CEE"/>
    <w:rsid w:val="000656C9"/>
    <w:rsid w:val="00067173"/>
    <w:rsid w:val="000717A7"/>
    <w:rsid w:val="00074827"/>
    <w:rsid w:val="000748BB"/>
    <w:rsid w:val="00077D0D"/>
    <w:rsid w:val="00081B63"/>
    <w:rsid w:val="0008221E"/>
    <w:rsid w:val="00083030"/>
    <w:rsid w:val="00085858"/>
    <w:rsid w:val="00085EB2"/>
    <w:rsid w:val="00090876"/>
    <w:rsid w:val="0009198C"/>
    <w:rsid w:val="000935A8"/>
    <w:rsid w:val="00093CBB"/>
    <w:rsid w:val="00094F6B"/>
    <w:rsid w:val="000A0753"/>
    <w:rsid w:val="000A1061"/>
    <w:rsid w:val="000A3C82"/>
    <w:rsid w:val="000A4C3C"/>
    <w:rsid w:val="000B1494"/>
    <w:rsid w:val="000B52F8"/>
    <w:rsid w:val="000B7E04"/>
    <w:rsid w:val="000C083E"/>
    <w:rsid w:val="000C122A"/>
    <w:rsid w:val="000C18DE"/>
    <w:rsid w:val="000C314F"/>
    <w:rsid w:val="000C37BB"/>
    <w:rsid w:val="000C4B97"/>
    <w:rsid w:val="000C565B"/>
    <w:rsid w:val="000C584E"/>
    <w:rsid w:val="000C5B41"/>
    <w:rsid w:val="000C7230"/>
    <w:rsid w:val="000C7397"/>
    <w:rsid w:val="000C7776"/>
    <w:rsid w:val="000C7EBD"/>
    <w:rsid w:val="000D1626"/>
    <w:rsid w:val="000D1673"/>
    <w:rsid w:val="000D1FEE"/>
    <w:rsid w:val="000D2EC3"/>
    <w:rsid w:val="000D3FA9"/>
    <w:rsid w:val="000D6D69"/>
    <w:rsid w:val="000E6166"/>
    <w:rsid w:val="000E62F4"/>
    <w:rsid w:val="000E65CC"/>
    <w:rsid w:val="000E67FC"/>
    <w:rsid w:val="000F0C52"/>
    <w:rsid w:val="000F2545"/>
    <w:rsid w:val="000F2E6B"/>
    <w:rsid w:val="000F2F69"/>
    <w:rsid w:val="000F2FF3"/>
    <w:rsid w:val="000F3859"/>
    <w:rsid w:val="000F3FDD"/>
    <w:rsid w:val="000F5C75"/>
    <w:rsid w:val="000F76CB"/>
    <w:rsid w:val="000F7874"/>
    <w:rsid w:val="000F7CD7"/>
    <w:rsid w:val="0010015E"/>
    <w:rsid w:val="00101965"/>
    <w:rsid w:val="001022C7"/>
    <w:rsid w:val="0010342C"/>
    <w:rsid w:val="001056D2"/>
    <w:rsid w:val="001058EE"/>
    <w:rsid w:val="00106E05"/>
    <w:rsid w:val="0012211E"/>
    <w:rsid w:val="00122A8D"/>
    <w:rsid w:val="0012367D"/>
    <w:rsid w:val="00123AF5"/>
    <w:rsid w:val="001243D4"/>
    <w:rsid w:val="001244EF"/>
    <w:rsid w:val="001259FD"/>
    <w:rsid w:val="00125DFB"/>
    <w:rsid w:val="00126806"/>
    <w:rsid w:val="0013078C"/>
    <w:rsid w:val="00131483"/>
    <w:rsid w:val="00132FE1"/>
    <w:rsid w:val="00133C78"/>
    <w:rsid w:val="00134F00"/>
    <w:rsid w:val="00135F93"/>
    <w:rsid w:val="001368FD"/>
    <w:rsid w:val="00137359"/>
    <w:rsid w:val="0013790C"/>
    <w:rsid w:val="00140066"/>
    <w:rsid w:val="0014077F"/>
    <w:rsid w:val="00141505"/>
    <w:rsid w:val="0014320B"/>
    <w:rsid w:val="00143437"/>
    <w:rsid w:val="001450A2"/>
    <w:rsid w:val="0014664E"/>
    <w:rsid w:val="00146F23"/>
    <w:rsid w:val="001519AC"/>
    <w:rsid w:val="00151F04"/>
    <w:rsid w:val="0015253D"/>
    <w:rsid w:val="00153295"/>
    <w:rsid w:val="001537C9"/>
    <w:rsid w:val="00153AFC"/>
    <w:rsid w:val="001624B3"/>
    <w:rsid w:val="001626CF"/>
    <w:rsid w:val="001636F4"/>
    <w:rsid w:val="00163F28"/>
    <w:rsid w:val="00164B30"/>
    <w:rsid w:val="00170A45"/>
    <w:rsid w:val="00171104"/>
    <w:rsid w:val="001716C7"/>
    <w:rsid w:val="0017205F"/>
    <w:rsid w:val="00172F30"/>
    <w:rsid w:val="0017471D"/>
    <w:rsid w:val="00174F53"/>
    <w:rsid w:val="00176361"/>
    <w:rsid w:val="001776AA"/>
    <w:rsid w:val="0017771B"/>
    <w:rsid w:val="00180C04"/>
    <w:rsid w:val="00181302"/>
    <w:rsid w:val="00183A5A"/>
    <w:rsid w:val="00183CAA"/>
    <w:rsid w:val="00184574"/>
    <w:rsid w:val="00187809"/>
    <w:rsid w:val="00187C3F"/>
    <w:rsid w:val="00190129"/>
    <w:rsid w:val="00190861"/>
    <w:rsid w:val="001927E9"/>
    <w:rsid w:val="00194E4A"/>
    <w:rsid w:val="00195259"/>
    <w:rsid w:val="001957E0"/>
    <w:rsid w:val="00195849"/>
    <w:rsid w:val="00195CF4"/>
    <w:rsid w:val="00197266"/>
    <w:rsid w:val="001A00A6"/>
    <w:rsid w:val="001A0580"/>
    <w:rsid w:val="001A065F"/>
    <w:rsid w:val="001A1064"/>
    <w:rsid w:val="001A1B9D"/>
    <w:rsid w:val="001A2426"/>
    <w:rsid w:val="001A2D2D"/>
    <w:rsid w:val="001A3A4A"/>
    <w:rsid w:val="001A4F35"/>
    <w:rsid w:val="001A560C"/>
    <w:rsid w:val="001B3216"/>
    <w:rsid w:val="001B474F"/>
    <w:rsid w:val="001B538A"/>
    <w:rsid w:val="001B7719"/>
    <w:rsid w:val="001B7CF4"/>
    <w:rsid w:val="001C0A32"/>
    <w:rsid w:val="001C2164"/>
    <w:rsid w:val="001C398B"/>
    <w:rsid w:val="001C59F1"/>
    <w:rsid w:val="001C624D"/>
    <w:rsid w:val="001C6FA2"/>
    <w:rsid w:val="001D2054"/>
    <w:rsid w:val="001D2201"/>
    <w:rsid w:val="001D34FA"/>
    <w:rsid w:val="001D3BC6"/>
    <w:rsid w:val="001D5FE0"/>
    <w:rsid w:val="001D69B6"/>
    <w:rsid w:val="001D7E54"/>
    <w:rsid w:val="001E0693"/>
    <w:rsid w:val="001E0AEB"/>
    <w:rsid w:val="001E10FB"/>
    <w:rsid w:val="001E18E2"/>
    <w:rsid w:val="001E2A02"/>
    <w:rsid w:val="001E4704"/>
    <w:rsid w:val="001E4795"/>
    <w:rsid w:val="001E4AC2"/>
    <w:rsid w:val="001E555F"/>
    <w:rsid w:val="001E5C86"/>
    <w:rsid w:val="001E7F62"/>
    <w:rsid w:val="001E7FBD"/>
    <w:rsid w:val="001F001D"/>
    <w:rsid w:val="001F052E"/>
    <w:rsid w:val="001F0F59"/>
    <w:rsid w:val="001F274C"/>
    <w:rsid w:val="001F457E"/>
    <w:rsid w:val="001F599F"/>
    <w:rsid w:val="001F6038"/>
    <w:rsid w:val="001F616B"/>
    <w:rsid w:val="001F6291"/>
    <w:rsid w:val="00202013"/>
    <w:rsid w:val="00203580"/>
    <w:rsid w:val="00203616"/>
    <w:rsid w:val="00203DD4"/>
    <w:rsid w:val="00204298"/>
    <w:rsid w:val="0020597B"/>
    <w:rsid w:val="00210F60"/>
    <w:rsid w:val="00211880"/>
    <w:rsid w:val="00217E21"/>
    <w:rsid w:val="00221A27"/>
    <w:rsid w:val="00221B41"/>
    <w:rsid w:val="00222522"/>
    <w:rsid w:val="00223353"/>
    <w:rsid w:val="00223481"/>
    <w:rsid w:val="002268DB"/>
    <w:rsid w:val="00226A06"/>
    <w:rsid w:val="0022721E"/>
    <w:rsid w:val="00233946"/>
    <w:rsid w:val="0023671D"/>
    <w:rsid w:val="00241011"/>
    <w:rsid w:val="0024209E"/>
    <w:rsid w:val="00242120"/>
    <w:rsid w:val="00244CB8"/>
    <w:rsid w:val="002460BE"/>
    <w:rsid w:val="002464FC"/>
    <w:rsid w:val="00250E48"/>
    <w:rsid w:val="00251216"/>
    <w:rsid w:val="0025312C"/>
    <w:rsid w:val="00253551"/>
    <w:rsid w:val="002535E0"/>
    <w:rsid w:val="0025470B"/>
    <w:rsid w:val="00256374"/>
    <w:rsid w:val="00256AAD"/>
    <w:rsid w:val="002633A2"/>
    <w:rsid w:val="00263953"/>
    <w:rsid w:val="002712DD"/>
    <w:rsid w:val="002714C4"/>
    <w:rsid w:val="002722B0"/>
    <w:rsid w:val="00276764"/>
    <w:rsid w:val="00280209"/>
    <w:rsid w:val="00281592"/>
    <w:rsid w:val="00281728"/>
    <w:rsid w:val="00281ABA"/>
    <w:rsid w:val="00281B22"/>
    <w:rsid w:val="002826BE"/>
    <w:rsid w:val="00282788"/>
    <w:rsid w:val="00283015"/>
    <w:rsid w:val="00284044"/>
    <w:rsid w:val="00284628"/>
    <w:rsid w:val="00290A39"/>
    <w:rsid w:val="002925FE"/>
    <w:rsid w:val="00293B99"/>
    <w:rsid w:val="0029553D"/>
    <w:rsid w:val="00296E4E"/>
    <w:rsid w:val="002A1E25"/>
    <w:rsid w:val="002A1F02"/>
    <w:rsid w:val="002A36C0"/>
    <w:rsid w:val="002A3714"/>
    <w:rsid w:val="002A47F9"/>
    <w:rsid w:val="002A4C55"/>
    <w:rsid w:val="002A5A4E"/>
    <w:rsid w:val="002B056E"/>
    <w:rsid w:val="002B3557"/>
    <w:rsid w:val="002B44EC"/>
    <w:rsid w:val="002B48A7"/>
    <w:rsid w:val="002B5E33"/>
    <w:rsid w:val="002C0DB8"/>
    <w:rsid w:val="002C26F8"/>
    <w:rsid w:val="002C2782"/>
    <w:rsid w:val="002C555B"/>
    <w:rsid w:val="002C5624"/>
    <w:rsid w:val="002C5A90"/>
    <w:rsid w:val="002C5F02"/>
    <w:rsid w:val="002C6353"/>
    <w:rsid w:val="002D08FC"/>
    <w:rsid w:val="002D2170"/>
    <w:rsid w:val="002D4FD8"/>
    <w:rsid w:val="002D7960"/>
    <w:rsid w:val="002D7F6B"/>
    <w:rsid w:val="002E084B"/>
    <w:rsid w:val="002E1E14"/>
    <w:rsid w:val="002E2C69"/>
    <w:rsid w:val="002E469E"/>
    <w:rsid w:val="002E58C7"/>
    <w:rsid w:val="002E59D6"/>
    <w:rsid w:val="002E6A1C"/>
    <w:rsid w:val="002E6ACB"/>
    <w:rsid w:val="002E7FA3"/>
    <w:rsid w:val="002F05CC"/>
    <w:rsid w:val="002F1117"/>
    <w:rsid w:val="002F137B"/>
    <w:rsid w:val="002F3C92"/>
    <w:rsid w:val="002F6530"/>
    <w:rsid w:val="0030035E"/>
    <w:rsid w:val="00302E6A"/>
    <w:rsid w:val="0030535B"/>
    <w:rsid w:val="003072D4"/>
    <w:rsid w:val="00307D55"/>
    <w:rsid w:val="00307DC8"/>
    <w:rsid w:val="00311712"/>
    <w:rsid w:val="00312140"/>
    <w:rsid w:val="00313574"/>
    <w:rsid w:val="003156F2"/>
    <w:rsid w:val="00315D0F"/>
    <w:rsid w:val="00320DFE"/>
    <w:rsid w:val="00320EAB"/>
    <w:rsid w:val="00321F03"/>
    <w:rsid w:val="00323A23"/>
    <w:rsid w:val="00326BE0"/>
    <w:rsid w:val="00327466"/>
    <w:rsid w:val="003279F5"/>
    <w:rsid w:val="00331D6E"/>
    <w:rsid w:val="00332B28"/>
    <w:rsid w:val="00333086"/>
    <w:rsid w:val="00333427"/>
    <w:rsid w:val="00334F02"/>
    <w:rsid w:val="00336A3C"/>
    <w:rsid w:val="00337265"/>
    <w:rsid w:val="003372BE"/>
    <w:rsid w:val="00341B03"/>
    <w:rsid w:val="00344062"/>
    <w:rsid w:val="0034438F"/>
    <w:rsid w:val="0034736F"/>
    <w:rsid w:val="003474F9"/>
    <w:rsid w:val="00350A4E"/>
    <w:rsid w:val="00350E64"/>
    <w:rsid w:val="003522CE"/>
    <w:rsid w:val="00352C8E"/>
    <w:rsid w:val="00353050"/>
    <w:rsid w:val="00353E21"/>
    <w:rsid w:val="00353F87"/>
    <w:rsid w:val="003564A3"/>
    <w:rsid w:val="003567B9"/>
    <w:rsid w:val="003571AC"/>
    <w:rsid w:val="00357982"/>
    <w:rsid w:val="00360F98"/>
    <w:rsid w:val="003632E3"/>
    <w:rsid w:val="00363FBE"/>
    <w:rsid w:val="003644A7"/>
    <w:rsid w:val="00365978"/>
    <w:rsid w:val="00365C22"/>
    <w:rsid w:val="00366F3C"/>
    <w:rsid w:val="00367306"/>
    <w:rsid w:val="00370335"/>
    <w:rsid w:val="00371CE5"/>
    <w:rsid w:val="00372AB8"/>
    <w:rsid w:val="00372F50"/>
    <w:rsid w:val="003750BF"/>
    <w:rsid w:val="00375CF5"/>
    <w:rsid w:val="00380645"/>
    <w:rsid w:val="0038066B"/>
    <w:rsid w:val="00380D44"/>
    <w:rsid w:val="00381168"/>
    <w:rsid w:val="0038236A"/>
    <w:rsid w:val="0038782F"/>
    <w:rsid w:val="00391E4D"/>
    <w:rsid w:val="003927ED"/>
    <w:rsid w:val="00394BF1"/>
    <w:rsid w:val="00396A4D"/>
    <w:rsid w:val="00397A7C"/>
    <w:rsid w:val="003A14F2"/>
    <w:rsid w:val="003A2226"/>
    <w:rsid w:val="003A5461"/>
    <w:rsid w:val="003B179E"/>
    <w:rsid w:val="003B2CF7"/>
    <w:rsid w:val="003B34FB"/>
    <w:rsid w:val="003B352E"/>
    <w:rsid w:val="003B55EF"/>
    <w:rsid w:val="003B6F7B"/>
    <w:rsid w:val="003C09F7"/>
    <w:rsid w:val="003C1A08"/>
    <w:rsid w:val="003C2389"/>
    <w:rsid w:val="003D041F"/>
    <w:rsid w:val="003D1DB3"/>
    <w:rsid w:val="003D2B32"/>
    <w:rsid w:val="003D38CE"/>
    <w:rsid w:val="003D4F50"/>
    <w:rsid w:val="003D6C39"/>
    <w:rsid w:val="003D6FC2"/>
    <w:rsid w:val="003D73E1"/>
    <w:rsid w:val="003E0673"/>
    <w:rsid w:val="003E07CF"/>
    <w:rsid w:val="003E1299"/>
    <w:rsid w:val="003E228C"/>
    <w:rsid w:val="003E3282"/>
    <w:rsid w:val="003E389B"/>
    <w:rsid w:val="003E3C9D"/>
    <w:rsid w:val="003E64A1"/>
    <w:rsid w:val="003E7052"/>
    <w:rsid w:val="003E7EA7"/>
    <w:rsid w:val="003F0371"/>
    <w:rsid w:val="003F1B7D"/>
    <w:rsid w:val="003F33DC"/>
    <w:rsid w:val="003F54ED"/>
    <w:rsid w:val="003F556A"/>
    <w:rsid w:val="003F5FAE"/>
    <w:rsid w:val="004056DA"/>
    <w:rsid w:val="00406F26"/>
    <w:rsid w:val="00412A1C"/>
    <w:rsid w:val="0041375E"/>
    <w:rsid w:val="00414AB2"/>
    <w:rsid w:val="00415E59"/>
    <w:rsid w:val="00415F9A"/>
    <w:rsid w:val="00421687"/>
    <w:rsid w:val="00421CD6"/>
    <w:rsid w:val="00423D8D"/>
    <w:rsid w:val="0042405A"/>
    <w:rsid w:val="004256C0"/>
    <w:rsid w:val="004278F9"/>
    <w:rsid w:val="00431606"/>
    <w:rsid w:val="00433826"/>
    <w:rsid w:val="00436458"/>
    <w:rsid w:val="0043772F"/>
    <w:rsid w:val="00440B6C"/>
    <w:rsid w:val="00441226"/>
    <w:rsid w:val="00442189"/>
    <w:rsid w:val="0044404D"/>
    <w:rsid w:val="00444358"/>
    <w:rsid w:val="00453605"/>
    <w:rsid w:val="004547E2"/>
    <w:rsid w:val="00454ECA"/>
    <w:rsid w:val="00456636"/>
    <w:rsid w:val="004572C7"/>
    <w:rsid w:val="0046213C"/>
    <w:rsid w:val="0046428E"/>
    <w:rsid w:val="00464B39"/>
    <w:rsid w:val="00464C1A"/>
    <w:rsid w:val="0046635E"/>
    <w:rsid w:val="00471440"/>
    <w:rsid w:val="00471C0C"/>
    <w:rsid w:val="00471C59"/>
    <w:rsid w:val="00472CB3"/>
    <w:rsid w:val="0047475B"/>
    <w:rsid w:val="00475250"/>
    <w:rsid w:val="00475721"/>
    <w:rsid w:val="00476BA7"/>
    <w:rsid w:val="0047712B"/>
    <w:rsid w:val="00477168"/>
    <w:rsid w:val="00477B23"/>
    <w:rsid w:val="00477FB7"/>
    <w:rsid w:val="0048497E"/>
    <w:rsid w:val="0048520A"/>
    <w:rsid w:val="00485214"/>
    <w:rsid w:val="00485C4F"/>
    <w:rsid w:val="00491C9A"/>
    <w:rsid w:val="00492E69"/>
    <w:rsid w:val="00493E04"/>
    <w:rsid w:val="004959CB"/>
    <w:rsid w:val="00496CD2"/>
    <w:rsid w:val="00496F05"/>
    <w:rsid w:val="004973E0"/>
    <w:rsid w:val="004A033B"/>
    <w:rsid w:val="004A0FC5"/>
    <w:rsid w:val="004A2509"/>
    <w:rsid w:val="004A2E55"/>
    <w:rsid w:val="004A3F73"/>
    <w:rsid w:val="004A5C97"/>
    <w:rsid w:val="004A7963"/>
    <w:rsid w:val="004A7BEA"/>
    <w:rsid w:val="004B2015"/>
    <w:rsid w:val="004B39CD"/>
    <w:rsid w:val="004B40C3"/>
    <w:rsid w:val="004B4E6A"/>
    <w:rsid w:val="004B5696"/>
    <w:rsid w:val="004B5C5E"/>
    <w:rsid w:val="004B6F3D"/>
    <w:rsid w:val="004B788B"/>
    <w:rsid w:val="004C4B1E"/>
    <w:rsid w:val="004C5308"/>
    <w:rsid w:val="004C68E3"/>
    <w:rsid w:val="004C7492"/>
    <w:rsid w:val="004D03F5"/>
    <w:rsid w:val="004D07B7"/>
    <w:rsid w:val="004D17FC"/>
    <w:rsid w:val="004D3980"/>
    <w:rsid w:val="004D408D"/>
    <w:rsid w:val="004D5BC3"/>
    <w:rsid w:val="004D7FF5"/>
    <w:rsid w:val="004E08CE"/>
    <w:rsid w:val="004E0BE6"/>
    <w:rsid w:val="004E271E"/>
    <w:rsid w:val="004E29D7"/>
    <w:rsid w:val="004E5550"/>
    <w:rsid w:val="004E6329"/>
    <w:rsid w:val="004E68BB"/>
    <w:rsid w:val="004E699E"/>
    <w:rsid w:val="004E7E26"/>
    <w:rsid w:val="004F3F67"/>
    <w:rsid w:val="004F6753"/>
    <w:rsid w:val="004F7A19"/>
    <w:rsid w:val="005002EE"/>
    <w:rsid w:val="0050121A"/>
    <w:rsid w:val="0050162A"/>
    <w:rsid w:val="00501867"/>
    <w:rsid w:val="005024EF"/>
    <w:rsid w:val="00504E21"/>
    <w:rsid w:val="00505309"/>
    <w:rsid w:val="00506ED4"/>
    <w:rsid w:val="00512053"/>
    <w:rsid w:val="00513652"/>
    <w:rsid w:val="0051411A"/>
    <w:rsid w:val="00514502"/>
    <w:rsid w:val="00516F44"/>
    <w:rsid w:val="00521F1D"/>
    <w:rsid w:val="00522970"/>
    <w:rsid w:val="00522C02"/>
    <w:rsid w:val="00523227"/>
    <w:rsid w:val="00523B15"/>
    <w:rsid w:val="0052470B"/>
    <w:rsid w:val="005249F2"/>
    <w:rsid w:val="00526218"/>
    <w:rsid w:val="00526BF9"/>
    <w:rsid w:val="00526CCA"/>
    <w:rsid w:val="00526F30"/>
    <w:rsid w:val="00530786"/>
    <w:rsid w:val="005341BA"/>
    <w:rsid w:val="00534CCA"/>
    <w:rsid w:val="00535994"/>
    <w:rsid w:val="00536F8A"/>
    <w:rsid w:val="0053753D"/>
    <w:rsid w:val="00542B2D"/>
    <w:rsid w:val="00542F8C"/>
    <w:rsid w:val="00543143"/>
    <w:rsid w:val="00543B9D"/>
    <w:rsid w:val="00543EB5"/>
    <w:rsid w:val="00544F2B"/>
    <w:rsid w:val="005458C8"/>
    <w:rsid w:val="00545EE5"/>
    <w:rsid w:val="00551EC2"/>
    <w:rsid w:val="0055519B"/>
    <w:rsid w:val="00555689"/>
    <w:rsid w:val="00555844"/>
    <w:rsid w:val="00562E46"/>
    <w:rsid w:val="005636FB"/>
    <w:rsid w:val="005642DC"/>
    <w:rsid w:val="00567996"/>
    <w:rsid w:val="0057028F"/>
    <w:rsid w:val="00570CE8"/>
    <w:rsid w:val="005736AA"/>
    <w:rsid w:val="00574F4A"/>
    <w:rsid w:val="00577114"/>
    <w:rsid w:val="00577508"/>
    <w:rsid w:val="005809C1"/>
    <w:rsid w:val="00580E3A"/>
    <w:rsid w:val="00580FD5"/>
    <w:rsid w:val="00581BE0"/>
    <w:rsid w:val="00584D26"/>
    <w:rsid w:val="00587F4D"/>
    <w:rsid w:val="00591051"/>
    <w:rsid w:val="00591DA3"/>
    <w:rsid w:val="00592988"/>
    <w:rsid w:val="0059310E"/>
    <w:rsid w:val="00594F8D"/>
    <w:rsid w:val="00595618"/>
    <w:rsid w:val="005A2325"/>
    <w:rsid w:val="005A3357"/>
    <w:rsid w:val="005A5A75"/>
    <w:rsid w:val="005A7906"/>
    <w:rsid w:val="005B13F5"/>
    <w:rsid w:val="005B1D45"/>
    <w:rsid w:val="005B2FA7"/>
    <w:rsid w:val="005B32AC"/>
    <w:rsid w:val="005B3885"/>
    <w:rsid w:val="005B3D0D"/>
    <w:rsid w:val="005B52BD"/>
    <w:rsid w:val="005B6EE8"/>
    <w:rsid w:val="005B76D0"/>
    <w:rsid w:val="005B783C"/>
    <w:rsid w:val="005D04ED"/>
    <w:rsid w:val="005D1EF0"/>
    <w:rsid w:val="005D2095"/>
    <w:rsid w:val="005D334F"/>
    <w:rsid w:val="005D3E15"/>
    <w:rsid w:val="005D4849"/>
    <w:rsid w:val="005D5234"/>
    <w:rsid w:val="005D7676"/>
    <w:rsid w:val="005E03F6"/>
    <w:rsid w:val="005E0EEE"/>
    <w:rsid w:val="005E285B"/>
    <w:rsid w:val="005E4069"/>
    <w:rsid w:val="005E45A4"/>
    <w:rsid w:val="005E51F3"/>
    <w:rsid w:val="005E61DE"/>
    <w:rsid w:val="005E67A9"/>
    <w:rsid w:val="005F0973"/>
    <w:rsid w:val="005F112E"/>
    <w:rsid w:val="005F1938"/>
    <w:rsid w:val="005F22BC"/>
    <w:rsid w:val="005F3A78"/>
    <w:rsid w:val="005F4FD9"/>
    <w:rsid w:val="005F5E0A"/>
    <w:rsid w:val="005F6151"/>
    <w:rsid w:val="00600062"/>
    <w:rsid w:val="00600122"/>
    <w:rsid w:val="0060355E"/>
    <w:rsid w:val="006036AC"/>
    <w:rsid w:val="00603C62"/>
    <w:rsid w:val="006062FE"/>
    <w:rsid w:val="00606DB4"/>
    <w:rsid w:val="006076EC"/>
    <w:rsid w:val="00611394"/>
    <w:rsid w:val="00612770"/>
    <w:rsid w:val="00614890"/>
    <w:rsid w:val="00614B4B"/>
    <w:rsid w:val="00614BFD"/>
    <w:rsid w:val="00616F35"/>
    <w:rsid w:val="00617DE3"/>
    <w:rsid w:val="0062296C"/>
    <w:rsid w:val="006257CB"/>
    <w:rsid w:val="00625BBC"/>
    <w:rsid w:val="00631AC0"/>
    <w:rsid w:val="0063399D"/>
    <w:rsid w:val="00633BEC"/>
    <w:rsid w:val="006341D9"/>
    <w:rsid w:val="0063530F"/>
    <w:rsid w:val="00640F94"/>
    <w:rsid w:val="00641085"/>
    <w:rsid w:val="006430B2"/>
    <w:rsid w:val="00643A1A"/>
    <w:rsid w:val="00644965"/>
    <w:rsid w:val="00650474"/>
    <w:rsid w:val="00652AC6"/>
    <w:rsid w:val="00654600"/>
    <w:rsid w:val="00655630"/>
    <w:rsid w:val="00657121"/>
    <w:rsid w:val="00657BF1"/>
    <w:rsid w:val="00657CD1"/>
    <w:rsid w:val="00661344"/>
    <w:rsid w:val="0066203B"/>
    <w:rsid w:val="006639B7"/>
    <w:rsid w:val="00664313"/>
    <w:rsid w:val="00665139"/>
    <w:rsid w:val="00667E2D"/>
    <w:rsid w:val="00667EBD"/>
    <w:rsid w:val="00671F4B"/>
    <w:rsid w:val="00674314"/>
    <w:rsid w:val="00674315"/>
    <w:rsid w:val="00674776"/>
    <w:rsid w:val="0067504E"/>
    <w:rsid w:val="00675CB0"/>
    <w:rsid w:val="006768A5"/>
    <w:rsid w:val="00676913"/>
    <w:rsid w:val="00676DCD"/>
    <w:rsid w:val="00677213"/>
    <w:rsid w:val="00677944"/>
    <w:rsid w:val="00677DBD"/>
    <w:rsid w:val="00681DEE"/>
    <w:rsid w:val="00683C89"/>
    <w:rsid w:val="00683EFC"/>
    <w:rsid w:val="0068405F"/>
    <w:rsid w:val="00685EDB"/>
    <w:rsid w:val="00686FF7"/>
    <w:rsid w:val="00687465"/>
    <w:rsid w:val="00687E46"/>
    <w:rsid w:val="00690013"/>
    <w:rsid w:val="0069072B"/>
    <w:rsid w:val="00691B18"/>
    <w:rsid w:val="0069214E"/>
    <w:rsid w:val="00693D34"/>
    <w:rsid w:val="0069431A"/>
    <w:rsid w:val="00694D7B"/>
    <w:rsid w:val="00697BDF"/>
    <w:rsid w:val="006A022F"/>
    <w:rsid w:val="006A156C"/>
    <w:rsid w:val="006A1BB2"/>
    <w:rsid w:val="006A21F7"/>
    <w:rsid w:val="006A5827"/>
    <w:rsid w:val="006A5BAE"/>
    <w:rsid w:val="006A6A6B"/>
    <w:rsid w:val="006B22A2"/>
    <w:rsid w:val="006B39BB"/>
    <w:rsid w:val="006B3D1E"/>
    <w:rsid w:val="006B443D"/>
    <w:rsid w:val="006B4E79"/>
    <w:rsid w:val="006B7184"/>
    <w:rsid w:val="006B76D7"/>
    <w:rsid w:val="006B7E03"/>
    <w:rsid w:val="006C06B3"/>
    <w:rsid w:val="006C1333"/>
    <w:rsid w:val="006C1DE6"/>
    <w:rsid w:val="006C25A6"/>
    <w:rsid w:val="006C28C0"/>
    <w:rsid w:val="006C2EDB"/>
    <w:rsid w:val="006C397C"/>
    <w:rsid w:val="006C3F0A"/>
    <w:rsid w:val="006C3FA1"/>
    <w:rsid w:val="006C59EC"/>
    <w:rsid w:val="006D31EA"/>
    <w:rsid w:val="006D3972"/>
    <w:rsid w:val="006D41DD"/>
    <w:rsid w:val="006D5A57"/>
    <w:rsid w:val="006D6347"/>
    <w:rsid w:val="006D7945"/>
    <w:rsid w:val="006E113B"/>
    <w:rsid w:val="006E1719"/>
    <w:rsid w:val="006E1E80"/>
    <w:rsid w:val="006E2320"/>
    <w:rsid w:val="006E41F9"/>
    <w:rsid w:val="006E5A42"/>
    <w:rsid w:val="006E5FE7"/>
    <w:rsid w:val="006E6E67"/>
    <w:rsid w:val="006F1D1E"/>
    <w:rsid w:val="006F1E0C"/>
    <w:rsid w:val="006F1FC2"/>
    <w:rsid w:val="006F34D0"/>
    <w:rsid w:val="006F7296"/>
    <w:rsid w:val="00701C50"/>
    <w:rsid w:val="00703C55"/>
    <w:rsid w:val="00703DA1"/>
    <w:rsid w:val="0070468F"/>
    <w:rsid w:val="007046F7"/>
    <w:rsid w:val="00705556"/>
    <w:rsid w:val="007059F4"/>
    <w:rsid w:val="00705FCA"/>
    <w:rsid w:val="00706738"/>
    <w:rsid w:val="007113D7"/>
    <w:rsid w:val="0071285F"/>
    <w:rsid w:val="00712CE0"/>
    <w:rsid w:val="007130A6"/>
    <w:rsid w:val="00714C1F"/>
    <w:rsid w:val="00714D7D"/>
    <w:rsid w:val="00715D0C"/>
    <w:rsid w:val="00716207"/>
    <w:rsid w:val="0071626B"/>
    <w:rsid w:val="00716BF9"/>
    <w:rsid w:val="0071782D"/>
    <w:rsid w:val="00721518"/>
    <w:rsid w:val="00723188"/>
    <w:rsid w:val="007260B2"/>
    <w:rsid w:val="00732951"/>
    <w:rsid w:val="00733330"/>
    <w:rsid w:val="00735962"/>
    <w:rsid w:val="0073714F"/>
    <w:rsid w:val="007432C0"/>
    <w:rsid w:val="0074435C"/>
    <w:rsid w:val="007515DB"/>
    <w:rsid w:val="00751ED0"/>
    <w:rsid w:val="007529AA"/>
    <w:rsid w:val="007534D7"/>
    <w:rsid w:val="00753D50"/>
    <w:rsid w:val="007561FF"/>
    <w:rsid w:val="0076037D"/>
    <w:rsid w:val="007605DC"/>
    <w:rsid w:val="007607E6"/>
    <w:rsid w:val="007609CF"/>
    <w:rsid w:val="00760E04"/>
    <w:rsid w:val="00762932"/>
    <w:rsid w:val="0076319F"/>
    <w:rsid w:val="00763E52"/>
    <w:rsid w:val="00765D24"/>
    <w:rsid w:val="00765F85"/>
    <w:rsid w:val="00766177"/>
    <w:rsid w:val="00766550"/>
    <w:rsid w:val="007673A4"/>
    <w:rsid w:val="007700DF"/>
    <w:rsid w:val="00770383"/>
    <w:rsid w:val="00770C8B"/>
    <w:rsid w:val="00774F62"/>
    <w:rsid w:val="00774FDF"/>
    <w:rsid w:val="00775C31"/>
    <w:rsid w:val="00777C99"/>
    <w:rsid w:val="00780304"/>
    <w:rsid w:val="00780965"/>
    <w:rsid w:val="007819D3"/>
    <w:rsid w:val="00782305"/>
    <w:rsid w:val="00785982"/>
    <w:rsid w:val="00786A45"/>
    <w:rsid w:val="00792114"/>
    <w:rsid w:val="00792B2A"/>
    <w:rsid w:val="00793821"/>
    <w:rsid w:val="00795044"/>
    <w:rsid w:val="00795751"/>
    <w:rsid w:val="0079686F"/>
    <w:rsid w:val="007A0CB9"/>
    <w:rsid w:val="007A5FE5"/>
    <w:rsid w:val="007A76BC"/>
    <w:rsid w:val="007A79B5"/>
    <w:rsid w:val="007B1F30"/>
    <w:rsid w:val="007B282A"/>
    <w:rsid w:val="007B3E5A"/>
    <w:rsid w:val="007B7799"/>
    <w:rsid w:val="007C1729"/>
    <w:rsid w:val="007C43F7"/>
    <w:rsid w:val="007C4421"/>
    <w:rsid w:val="007C59F3"/>
    <w:rsid w:val="007C6556"/>
    <w:rsid w:val="007C6C2F"/>
    <w:rsid w:val="007C7930"/>
    <w:rsid w:val="007C7A9A"/>
    <w:rsid w:val="007D25DC"/>
    <w:rsid w:val="007D2D53"/>
    <w:rsid w:val="007D4692"/>
    <w:rsid w:val="007D68B1"/>
    <w:rsid w:val="007D6D45"/>
    <w:rsid w:val="007D7E88"/>
    <w:rsid w:val="007E034D"/>
    <w:rsid w:val="007E0C71"/>
    <w:rsid w:val="007E0CA6"/>
    <w:rsid w:val="007E2807"/>
    <w:rsid w:val="007E3054"/>
    <w:rsid w:val="007E4B84"/>
    <w:rsid w:val="007E71F3"/>
    <w:rsid w:val="007F2EB4"/>
    <w:rsid w:val="007F3456"/>
    <w:rsid w:val="007F369D"/>
    <w:rsid w:val="007F6C8D"/>
    <w:rsid w:val="007F7F20"/>
    <w:rsid w:val="00800823"/>
    <w:rsid w:val="00800FD0"/>
    <w:rsid w:val="008048CB"/>
    <w:rsid w:val="00804910"/>
    <w:rsid w:val="0080499A"/>
    <w:rsid w:val="00806FC6"/>
    <w:rsid w:val="00810E7A"/>
    <w:rsid w:val="00811191"/>
    <w:rsid w:val="008132A0"/>
    <w:rsid w:val="00813636"/>
    <w:rsid w:val="0081402B"/>
    <w:rsid w:val="008141EB"/>
    <w:rsid w:val="0081456C"/>
    <w:rsid w:val="00814876"/>
    <w:rsid w:val="0081609F"/>
    <w:rsid w:val="008171F5"/>
    <w:rsid w:val="008225BA"/>
    <w:rsid w:val="0082351C"/>
    <w:rsid w:val="0082381F"/>
    <w:rsid w:val="008248BC"/>
    <w:rsid w:val="0082585D"/>
    <w:rsid w:val="00830CF3"/>
    <w:rsid w:val="00832962"/>
    <w:rsid w:val="00832EA6"/>
    <w:rsid w:val="0083356F"/>
    <w:rsid w:val="00836DBF"/>
    <w:rsid w:val="008407B9"/>
    <w:rsid w:val="00842228"/>
    <w:rsid w:val="00842622"/>
    <w:rsid w:val="00843561"/>
    <w:rsid w:val="008437AD"/>
    <w:rsid w:val="00844B5C"/>
    <w:rsid w:val="00844D35"/>
    <w:rsid w:val="00846967"/>
    <w:rsid w:val="00853193"/>
    <w:rsid w:val="0085517D"/>
    <w:rsid w:val="00855804"/>
    <w:rsid w:val="008601FE"/>
    <w:rsid w:val="0086064D"/>
    <w:rsid w:val="00860BE6"/>
    <w:rsid w:val="00861024"/>
    <w:rsid w:val="00861FB2"/>
    <w:rsid w:val="00864386"/>
    <w:rsid w:val="0086445E"/>
    <w:rsid w:val="00866C0C"/>
    <w:rsid w:val="00867AF7"/>
    <w:rsid w:val="00870D09"/>
    <w:rsid w:val="0087729C"/>
    <w:rsid w:val="008778E9"/>
    <w:rsid w:val="00877917"/>
    <w:rsid w:val="00880C62"/>
    <w:rsid w:val="00880D0A"/>
    <w:rsid w:val="00880FBC"/>
    <w:rsid w:val="008839C8"/>
    <w:rsid w:val="00885117"/>
    <w:rsid w:val="008853D2"/>
    <w:rsid w:val="00894FFE"/>
    <w:rsid w:val="008951D2"/>
    <w:rsid w:val="00895FE2"/>
    <w:rsid w:val="00896020"/>
    <w:rsid w:val="008960AB"/>
    <w:rsid w:val="008974D6"/>
    <w:rsid w:val="008977E2"/>
    <w:rsid w:val="008A0D9B"/>
    <w:rsid w:val="008A1810"/>
    <w:rsid w:val="008A1D54"/>
    <w:rsid w:val="008A39E4"/>
    <w:rsid w:val="008A5067"/>
    <w:rsid w:val="008A6190"/>
    <w:rsid w:val="008A6346"/>
    <w:rsid w:val="008A7EBA"/>
    <w:rsid w:val="008B2A18"/>
    <w:rsid w:val="008B39E7"/>
    <w:rsid w:val="008B5785"/>
    <w:rsid w:val="008B59E7"/>
    <w:rsid w:val="008B5CAE"/>
    <w:rsid w:val="008C0814"/>
    <w:rsid w:val="008C751E"/>
    <w:rsid w:val="008D5BB4"/>
    <w:rsid w:val="008D6737"/>
    <w:rsid w:val="008D7429"/>
    <w:rsid w:val="008E08D3"/>
    <w:rsid w:val="008E22A6"/>
    <w:rsid w:val="008E2626"/>
    <w:rsid w:val="008E29D2"/>
    <w:rsid w:val="008E5F92"/>
    <w:rsid w:val="008E68B6"/>
    <w:rsid w:val="008F061E"/>
    <w:rsid w:val="008F0970"/>
    <w:rsid w:val="008F1643"/>
    <w:rsid w:val="008F2105"/>
    <w:rsid w:val="008F4A1B"/>
    <w:rsid w:val="008F54E4"/>
    <w:rsid w:val="008F57A7"/>
    <w:rsid w:val="00900970"/>
    <w:rsid w:val="00901966"/>
    <w:rsid w:val="009021E4"/>
    <w:rsid w:val="00903B20"/>
    <w:rsid w:val="00903E2A"/>
    <w:rsid w:val="00903FFD"/>
    <w:rsid w:val="0090510B"/>
    <w:rsid w:val="00906E8B"/>
    <w:rsid w:val="00907705"/>
    <w:rsid w:val="009079A0"/>
    <w:rsid w:val="00907D4B"/>
    <w:rsid w:val="00912B4E"/>
    <w:rsid w:val="00915B71"/>
    <w:rsid w:val="00915BEA"/>
    <w:rsid w:val="00917C7D"/>
    <w:rsid w:val="00923282"/>
    <w:rsid w:val="00923820"/>
    <w:rsid w:val="009239A8"/>
    <w:rsid w:val="00923B6D"/>
    <w:rsid w:val="00926214"/>
    <w:rsid w:val="00927162"/>
    <w:rsid w:val="009279D7"/>
    <w:rsid w:val="0093176D"/>
    <w:rsid w:val="00933C8C"/>
    <w:rsid w:val="00937DC3"/>
    <w:rsid w:val="00940BE7"/>
    <w:rsid w:val="00941394"/>
    <w:rsid w:val="00942942"/>
    <w:rsid w:val="009429E5"/>
    <w:rsid w:val="009431E8"/>
    <w:rsid w:val="00943B56"/>
    <w:rsid w:val="009449FC"/>
    <w:rsid w:val="00945DB6"/>
    <w:rsid w:val="00946C11"/>
    <w:rsid w:val="00947F66"/>
    <w:rsid w:val="00956935"/>
    <w:rsid w:val="00957502"/>
    <w:rsid w:val="00957A63"/>
    <w:rsid w:val="0096057F"/>
    <w:rsid w:val="009608C4"/>
    <w:rsid w:val="00962DFA"/>
    <w:rsid w:val="009643E6"/>
    <w:rsid w:val="00965EB7"/>
    <w:rsid w:val="00966015"/>
    <w:rsid w:val="00966C5F"/>
    <w:rsid w:val="00966D03"/>
    <w:rsid w:val="00966F78"/>
    <w:rsid w:val="009702C5"/>
    <w:rsid w:val="009716F6"/>
    <w:rsid w:val="00972311"/>
    <w:rsid w:val="0097301E"/>
    <w:rsid w:val="0097604A"/>
    <w:rsid w:val="00977C1C"/>
    <w:rsid w:val="009829CE"/>
    <w:rsid w:val="009845A7"/>
    <w:rsid w:val="00986679"/>
    <w:rsid w:val="0099151A"/>
    <w:rsid w:val="009932B3"/>
    <w:rsid w:val="00993E29"/>
    <w:rsid w:val="00995456"/>
    <w:rsid w:val="00995C2D"/>
    <w:rsid w:val="00996345"/>
    <w:rsid w:val="00996C68"/>
    <w:rsid w:val="00997760"/>
    <w:rsid w:val="00997E46"/>
    <w:rsid w:val="009A1C89"/>
    <w:rsid w:val="009A3DDB"/>
    <w:rsid w:val="009A5793"/>
    <w:rsid w:val="009A5D19"/>
    <w:rsid w:val="009A6FDF"/>
    <w:rsid w:val="009A7DBC"/>
    <w:rsid w:val="009B62BC"/>
    <w:rsid w:val="009C0AE1"/>
    <w:rsid w:val="009C2618"/>
    <w:rsid w:val="009C529E"/>
    <w:rsid w:val="009D018C"/>
    <w:rsid w:val="009D1F2C"/>
    <w:rsid w:val="009D2CE8"/>
    <w:rsid w:val="009D30D7"/>
    <w:rsid w:val="009D492B"/>
    <w:rsid w:val="009D4B74"/>
    <w:rsid w:val="009D5AAF"/>
    <w:rsid w:val="009D7926"/>
    <w:rsid w:val="009E01AA"/>
    <w:rsid w:val="009E1F1F"/>
    <w:rsid w:val="009E350A"/>
    <w:rsid w:val="009E481C"/>
    <w:rsid w:val="009E49BD"/>
    <w:rsid w:val="009E68B0"/>
    <w:rsid w:val="009E7340"/>
    <w:rsid w:val="009F033D"/>
    <w:rsid w:val="009F0833"/>
    <w:rsid w:val="009F1755"/>
    <w:rsid w:val="009F20B4"/>
    <w:rsid w:val="009F225D"/>
    <w:rsid w:val="009F2F59"/>
    <w:rsid w:val="009F3018"/>
    <w:rsid w:val="009F34C1"/>
    <w:rsid w:val="009F504B"/>
    <w:rsid w:val="00A0044B"/>
    <w:rsid w:val="00A02138"/>
    <w:rsid w:val="00A055DC"/>
    <w:rsid w:val="00A0743C"/>
    <w:rsid w:val="00A12AA9"/>
    <w:rsid w:val="00A132AB"/>
    <w:rsid w:val="00A14990"/>
    <w:rsid w:val="00A14A91"/>
    <w:rsid w:val="00A156AD"/>
    <w:rsid w:val="00A16AF0"/>
    <w:rsid w:val="00A21ABD"/>
    <w:rsid w:val="00A248BA"/>
    <w:rsid w:val="00A24DC6"/>
    <w:rsid w:val="00A257A0"/>
    <w:rsid w:val="00A30BE3"/>
    <w:rsid w:val="00A36A20"/>
    <w:rsid w:val="00A370E1"/>
    <w:rsid w:val="00A37500"/>
    <w:rsid w:val="00A4013B"/>
    <w:rsid w:val="00A401D4"/>
    <w:rsid w:val="00A42C82"/>
    <w:rsid w:val="00A4517B"/>
    <w:rsid w:val="00A51A51"/>
    <w:rsid w:val="00A54228"/>
    <w:rsid w:val="00A54268"/>
    <w:rsid w:val="00A55450"/>
    <w:rsid w:val="00A60454"/>
    <w:rsid w:val="00A633BD"/>
    <w:rsid w:val="00A722B2"/>
    <w:rsid w:val="00A723DD"/>
    <w:rsid w:val="00A733C9"/>
    <w:rsid w:val="00A74797"/>
    <w:rsid w:val="00A76D16"/>
    <w:rsid w:val="00A80C4D"/>
    <w:rsid w:val="00A80F5F"/>
    <w:rsid w:val="00A8151B"/>
    <w:rsid w:val="00A8311B"/>
    <w:rsid w:val="00A8344E"/>
    <w:rsid w:val="00A83C1E"/>
    <w:rsid w:val="00A85C4A"/>
    <w:rsid w:val="00A87DBF"/>
    <w:rsid w:val="00A87E97"/>
    <w:rsid w:val="00A90242"/>
    <w:rsid w:val="00A91481"/>
    <w:rsid w:val="00A916B1"/>
    <w:rsid w:val="00A92581"/>
    <w:rsid w:val="00A94D30"/>
    <w:rsid w:val="00A94F33"/>
    <w:rsid w:val="00A95E59"/>
    <w:rsid w:val="00AA0A07"/>
    <w:rsid w:val="00AA0E1E"/>
    <w:rsid w:val="00AA1B3A"/>
    <w:rsid w:val="00AA20A7"/>
    <w:rsid w:val="00AA2830"/>
    <w:rsid w:val="00AA3673"/>
    <w:rsid w:val="00AA4F7F"/>
    <w:rsid w:val="00AA520B"/>
    <w:rsid w:val="00AA7787"/>
    <w:rsid w:val="00AB0950"/>
    <w:rsid w:val="00AB0E29"/>
    <w:rsid w:val="00AB19B1"/>
    <w:rsid w:val="00AB6898"/>
    <w:rsid w:val="00AC0815"/>
    <w:rsid w:val="00AC08E4"/>
    <w:rsid w:val="00AC25C5"/>
    <w:rsid w:val="00AC4713"/>
    <w:rsid w:val="00AC53CD"/>
    <w:rsid w:val="00AC58B3"/>
    <w:rsid w:val="00AC6555"/>
    <w:rsid w:val="00AC66E9"/>
    <w:rsid w:val="00AC7C4F"/>
    <w:rsid w:val="00AD06EC"/>
    <w:rsid w:val="00AD27D7"/>
    <w:rsid w:val="00AD283E"/>
    <w:rsid w:val="00AD2985"/>
    <w:rsid w:val="00AD3A58"/>
    <w:rsid w:val="00AD56BC"/>
    <w:rsid w:val="00AD619C"/>
    <w:rsid w:val="00AD7B1A"/>
    <w:rsid w:val="00AE1FB8"/>
    <w:rsid w:val="00AE4355"/>
    <w:rsid w:val="00AE485D"/>
    <w:rsid w:val="00AE533C"/>
    <w:rsid w:val="00AE7110"/>
    <w:rsid w:val="00AF107B"/>
    <w:rsid w:val="00AF16B6"/>
    <w:rsid w:val="00AF2853"/>
    <w:rsid w:val="00AF2D43"/>
    <w:rsid w:val="00AF35C5"/>
    <w:rsid w:val="00AF5EBD"/>
    <w:rsid w:val="00AF7577"/>
    <w:rsid w:val="00AF7F0D"/>
    <w:rsid w:val="00B00B7C"/>
    <w:rsid w:val="00B01838"/>
    <w:rsid w:val="00B01F87"/>
    <w:rsid w:val="00B02FBB"/>
    <w:rsid w:val="00B03909"/>
    <w:rsid w:val="00B07269"/>
    <w:rsid w:val="00B1202E"/>
    <w:rsid w:val="00B17752"/>
    <w:rsid w:val="00B20ECC"/>
    <w:rsid w:val="00B21BDA"/>
    <w:rsid w:val="00B2218D"/>
    <w:rsid w:val="00B228EA"/>
    <w:rsid w:val="00B229DF"/>
    <w:rsid w:val="00B23336"/>
    <w:rsid w:val="00B23468"/>
    <w:rsid w:val="00B24DC7"/>
    <w:rsid w:val="00B24FCF"/>
    <w:rsid w:val="00B27358"/>
    <w:rsid w:val="00B30AFF"/>
    <w:rsid w:val="00B3204C"/>
    <w:rsid w:val="00B3354B"/>
    <w:rsid w:val="00B35AF2"/>
    <w:rsid w:val="00B35FB9"/>
    <w:rsid w:val="00B361DE"/>
    <w:rsid w:val="00B36F99"/>
    <w:rsid w:val="00B370D2"/>
    <w:rsid w:val="00B37A9F"/>
    <w:rsid w:val="00B407FD"/>
    <w:rsid w:val="00B40D3F"/>
    <w:rsid w:val="00B508F2"/>
    <w:rsid w:val="00B50944"/>
    <w:rsid w:val="00B5372C"/>
    <w:rsid w:val="00B53DF8"/>
    <w:rsid w:val="00B55DB9"/>
    <w:rsid w:val="00B567E4"/>
    <w:rsid w:val="00B57485"/>
    <w:rsid w:val="00B61E51"/>
    <w:rsid w:val="00B6234A"/>
    <w:rsid w:val="00B62C3A"/>
    <w:rsid w:val="00B66349"/>
    <w:rsid w:val="00B70444"/>
    <w:rsid w:val="00B70DC7"/>
    <w:rsid w:val="00B743B2"/>
    <w:rsid w:val="00B74A6A"/>
    <w:rsid w:val="00B7771C"/>
    <w:rsid w:val="00B813C9"/>
    <w:rsid w:val="00B818F0"/>
    <w:rsid w:val="00B81B7C"/>
    <w:rsid w:val="00B83B5C"/>
    <w:rsid w:val="00B83F56"/>
    <w:rsid w:val="00B848B7"/>
    <w:rsid w:val="00B86A31"/>
    <w:rsid w:val="00B914C9"/>
    <w:rsid w:val="00B938EC"/>
    <w:rsid w:val="00B93C6B"/>
    <w:rsid w:val="00B93CC6"/>
    <w:rsid w:val="00B958BB"/>
    <w:rsid w:val="00B95E84"/>
    <w:rsid w:val="00B9639C"/>
    <w:rsid w:val="00B96EB3"/>
    <w:rsid w:val="00BA11B7"/>
    <w:rsid w:val="00BA207A"/>
    <w:rsid w:val="00BA2A7E"/>
    <w:rsid w:val="00BA2BDA"/>
    <w:rsid w:val="00BA456A"/>
    <w:rsid w:val="00BA4BEB"/>
    <w:rsid w:val="00BA4C27"/>
    <w:rsid w:val="00BA4C50"/>
    <w:rsid w:val="00BA4C56"/>
    <w:rsid w:val="00BA672B"/>
    <w:rsid w:val="00BA6ACF"/>
    <w:rsid w:val="00BB12B6"/>
    <w:rsid w:val="00BB1326"/>
    <w:rsid w:val="00BB238A"/>
    <w:rsid w:val="00BB29A5"/>
    <w:rsid w:val="00BB459E"/>
    <w:rsid w:val="00BB4AB5"/>
    <w:rsid w:val="00BB547C"/>
    <w:rsid w:val="00BB5771"/>
    <w:rsid w:val="00BB5943"/>
    <w:rsid w:val="00BB774D"/>
    <w:rsid w:val="00BB7876"/>
    <w:rsid w:val="00BB7B31"/>
    <w:rsid w:val="00BC2C0D"/>
    <w:rsid w:val="00BC49C8"/>
    <w:rsid w:val="00BC50E6"/>
    <w:rsid w:val="00BC574A"/>
    <w:rsid w:val="00BC7917"/>
    <w:rsid w:val="00BC7F3E"/>
    <w:rsid w:val="00BD07BB"/>
    <w:rsid w:val="00BD19D9"/>
    <w:rsid w:val="00BD1FC4"/>
    <w:rsid w:val="00BD2539"/>
    <w:rsid w:val="00BD4CEB"/>
    <w:rsid w:val="00BD59E4"/>
    <w:rsid w:val="00BD61CB"/>
    <w:rsid w:val="00BD7D2A"/>
    <w:rsid w:val="00BE19FA"/>
    <w:rsid w:val="00BE2F0F"/>
    <w:rsid w:val="00BE590D"/>
    <w:rsid w:val="00BE7764"/>
    <w:rsid w:val="00BF0B8B"/>
    <w:rsid w:val="00BF4306"/>
    <w:rsid w:val="00BF6996"/>
    <w:rsid w:val="00C01855"/>
    <w:rsid w:val="00C04D4B"/>
    <w:rsid w:val="00C04E27"/>
    <w:rsid w:val="00C061B9"/>
    <w:rsid w:val="00C06C14"/>
    <w:rsid w:val="00C06D86"/>
    <w:rsid w:val="00C07946"/>
    <w:rsid w:val="00C10570"/>
    <w:rsid w:val="00C16A74"/>
    <w:rsid w:val="00C17599"/>
    <w:rsid w:val="00C17760"/>
    <w:rsid w:val="00C21009"/>
    <w:rsid w:val="00C2530A"/>
    <w:rsid w:val="00C25C92"/>
    <w:rsid w:val="00C2733C"/>
    <w:rsid w:val="00C27D1D"/>
    <w:rsid w:val="00C302BF"/>
    <w:rsid w:val="00C335D0"/>
    <w:rsid w:val="00C33DF2"/>
    <w:rsid w:val="00C35D03"/>
    <w:rsid w:val="00C428AC"/>
    <w:rsid w:val="00C43CF5"/>
    <w:rsid w:val="00C530D4"/>
    <w:rsid w:val="00C554AC"/>
    <w:rsid w:val="00C556DB"/>
    <w:rsid w:val="00C57049"/>
    <w:rsid w:val="00C608A2"/>
    <w:rsid w:val="00C62C92"/>
    <w:rsid w:val="00C63DE6"/>
    <w:rsid w:val="00C65023"/>
    <w:rsid w:val="00C65163"/>
    <w:rsid w:val="00C66821"/>
    <w:rsid w:val="00C67AD3"/>
    <w:rsid w:val="00C730FD"/>
    <w:rsid w:val="00C743B4"/>
    <w:rsid w:val="00C7462B"/>
    <w:rsid w:val="00C7667F"/>
    <w:rsid w:val="00C76BDE"/>
    <w:rsid w:val="00C8048C"/>
    <w:rsid w:val="00C82C16"/>
    <w:rsid w:val="00C839F9"/>
    <w:rsid w:val="00C87BEB"/>
    <w:rsid w:val="00C92DF2"/>
    <w:rsid w:val="00C93585"/>
    <w:rsid w:val="00C946BF"/>
    <w:rsid w:val="00C9484E"/>
    <w:rsid w:val="00C95127"/>
    <w:rsid w:val="00C95D3B"/>
    <w:rsid w:val="00C97290"/>
    <w:rsid w:val="00CA0E44"/>
    <w:rsid w:val="00CA332A"/>
    <w:rsid w:val="00CA5227"/>
    <w:rsid w:val="00CA61E8"/>
    <w:rsid w:val="00CB0DFC"/>
    <w:rsid w:val="00CB0EF8"/>
    <w:rsid w:val="00CB1764"/>
    <w:rsid w:val="00CB1A87"/>
    <w:rsid w:val="00CB248A"/>
    <w:rsid w:val="00CB5674"/>
    <w:rsid w:val="00CB626E"/>
    <w:rsid w:val="00CB6400"/>
    <w:rsid w:val="00CC0BF4"/>
    <w:rsid w:val="00CC1868"/>
    <w:rsid w:val="00CC2552"/>
    <w:rsid w:val="00CC41CE"/>
    <w:rsid w:val="00CC52FC"/>
    <w:rsid w:val="00CD2F7F"/>
    <w:rsid w:val="00CD5415"/>
    <w:rsid w:val="00CD7964"/>
    <w:rsid w:val="00CE1DB8"/>
    <w:rsid w:val="00CE32A6"/>
    <w:rsid w:val="00CE500F"/>
    <w:rsid w:val="00CE5A80"/>
    <w:rsid w:val="00CE5E09"/>
    <w:rsid w:val="00CE6C21"/>
    <w:rsid w:val="00CE6F3A"/>
    <w:rsid w:val="00CE71A5"/>
    <w:rsid w:val="00CF1E89"/>
    <w:rsid w:val="00CF298F"/>
    <w:rsid w:val="00CF45ED"/>
    <w:rsid w:val="00CF4813"/>
    <w:rsid w:val="00CF4910"/>
    <w:rsid w:val="00CF563B"/>
    <w:rsid w:val="00CF5784"/>
    <w:rsid w:val="00CF6AF7"/>
    <w:rsid w:val="00CF70E8"/>
    <w:rsid w:val="00CF7B12"/>
    <w:rsid w:val="00CF7BBC"/>
    <w:rsid w:val="00D042BA"/>
    <w:rsid w:val="00D04D9E"/>
    <w:rsid w:val="00D05619"/>
    <w:rsid w:val="00D064DF"/>
    <w:rsid w:val="00D07D82"/>
    <w:rsid w:val="00D11123"/>
    <w:rsid w:val="00D14FE1"/>
    <w:rsid w:val="00D158FA"/>
    <w:rsid w:val="00D20DE9"/>
    <w:rsid w:val="00D21E82"/>
    <w:rsid w:val="00D22490"/>
    <w:rsid w:val="00D22CEC"/>
    <w:rsid w:val="00D254BE"/>
    <w:rsid w:val="00D25B79"/>
    <w:rsid w:val="00D264A5"/>
    <w:rsid w:val="00D27D09"/>
    <w:rsid w:val="00D32065"/>
    <w:rsid w:val="00D321DC"/>
    <w:rsid w:val="00D35566"/>
    <w:rsid w:val="00D35789"/>
    <w:rsid w:val="00D367AB"/>
    <w:rsid w:val="00D368CC"/>
    <w:rsid w:val="00D42AEE"/>
    <w:rsid w:val="00D43A22"/>
    <w:rsid w:val="00D43BD5"/>
    <w:rsid w:val="00D443D9"/>
    <w:rsid w:val="00D450C4"/>
    <w:rsid w:val="00D46DD7"/>
    <w:rsid w:val="00D46F4C"/>
    <w:rsid w:val="00D50085"/>
    <w:rsid w:val="00D50E9B"/>
    <w:rsid w:val="00D52CB0"/>
    <w:rsid w:val="00D53FB5"/>
    <w:rsid w:val="00D55594"/>
    <w:rsid w:val="00D573FE"/>
    <w:rsid w:val="00D6015A"/>
    <w:rsid w:val="00D62B9F"/>
    <w:rsid w:val="00D669C1"/>
    <w:rsid w:val="00D67D56"/>
    <w:rsid w:val="00D67E67"/>
    <w:rsid w:val="00D72A4C"/>
    <w:rsid w:val="00D731EA"/>
    <w:rsid w:val="00D74335"/>
    <w:rsid w:val="00D74C75"/>
    <w:rsid w:val="00D75A11"/>
    <w:rsid w:val="00D760F9"/>
    <w:rsid w:val="00D80338"/>
    <w:rsid w:val="00D81F86"/>
    <w:rsid w:val="00D81F95"/>
    <w:rsid w:val="00D87804"/>
    <w:rsid w:val="00D96B38"/>
    <w:rsid w:val="00D97888"/>
    <w:rsid w:val="00DA05B4"/>
    <w:rsid w:val="00DA17AA"/>
    <w:rsid w:val="00DA18F0"/>
    <w:rsid w:val="00DA45BD"/>
    <w:rsid w:val="00DA4DB2"/>
    <w:rsid w:val="00DA78CF"/>
    <w:rsid w:val="00DB1134"/>
    <w:rsid w:val="00DB4254"/>
    <w:rsid w:val="00DB5DA1"/>
    <w:rsid w:val="00DB787B"/>
    <w:rsid w:val="00DC0CED"/>
    <w:rsid w:val="00DC1CB0"/>
    <w:rsid w:val="00DC1D69"/>
    <w:rsid w:val="00DC2170"/>
    <w:rsid w:val="00DC2830"/>
    <w:rsid w:val="00DC70E3"/>
    <w:rsid w:val="00DC7CCB"/>
    <w:rsid w:val="00DD03F4"/>
    <w:rsid w:val="00DD1925"/>
    <w:rsid w:val="00DD37A1"/>
    <w:rsid w:val="00DD3922"/>
    <w:rsid w:val="00DD3939"/>
    <w:rsid w:val="00DD40A0"/>
    <w:rsid w:val="00DD48D6"/>
    <w:rsid w:val="00DD4A7D"/>
    <w:rsid w:val="00DD68DD"/>
    <w:rsid w:val="00DD69CB"/>
    <w:rsid w:val="00DD6C64"/>
    <w:rsid w:val="00DD7938"/>
    <w:rsid w:val="00DE0005"/>
    <w:rsid w:val="00DE2378"/>
    <w:rsid w:val="00DE3597"/>
    <w:rsid w:val="00DE389A"/>
    <w:rsid w:val="00DE447A"/>
    <w:rsid w:val="00DE56A4"/>
    <w:rsid w:val="00DE65D8"/>
    <w:rsid w:val="00DE6C6A"/>
    <w:rsid w:val="00DF01DF"/>
    <w:rsid w:val="00DF1493"/>
    <w:rsid w:val="00DF2364"/>
    <w:rsid w:val="00DF3A96"/>
    <w:rsid w:val="00E0040F"/>
    <w:rsid w:val="00E02057"/>
    <w:rsid w:val="00E07AEA"/>
    <w:rsid w:val="00E07EE0"/>
    <w:rsid w:val="00E11D76"/>
    <w:rsid w:val="00E1518F"/>
    <w:rsid w:val="00E161ED"/>
    <w:rsid w:val="00E16ED5"/>
    <w:rsid w:val="00E20779"/>
    <w:rsid w:val="00E217E6"/>
    <w:rsid w:val="00E22140"/>
    <w:rsid w:val="00E22AFF"/>
    <w:rsid w:val="00E23088"/>
    <w:rsid w:val="00E2311B"/>
    <w:rsid w:val="00E2353E"/>
    <w:rsid w:val="00E32688"/>
    <w:rsid w:val="00E34C47"/>
    <w:rsid w:val="00E35A7C"/>
    <w:rsid w:val="00E3655A"/>
    <w:rsid w:val="00E3697B"/>
    <w:rsid w:val="00E37C49"/>
    <w:rsid w:val="00E436C8"/>
    <w:rsid w:val="00E44DA5"/>
    <w:rsid w:val="00E467C2"/>
    <w:rsid w:val="00E46B63"/>
    <w:rsid w:val="00E46D45"/>
    <w:rsid w:val="00E52C62"/>
    <w:rsid w:val="00E57130"/>
    <w:rsid w:val="00E57932"/>
    <w:rsid w:val="00E57DBC"/>
    <w:rsid w:val="00E60537"/>
    <w:rsid w:val="00E650FF"/>
    <w:rsid w:val="00E66544"/>
    <w:rsid w:val="00E66AEB"/>
    <w:rsid w:val="00E675FB"/>
    <w:rsid w:val="00E727ED"/>
    <w:rsid w:val="00E74623"/>
    <w:rsid w:val="00E75862"/>
    <w:rsid w:val="00E771CB"/>
    <w:rsid w:val="00E80EE1"/>
    <w:rsid w:val="00E816C1"/>
    <w:rsid w:val="00E8201C"/>
    <w:rsid w:val="00E83EEE"/>
    <w:rsid w:val="00E84AE1"/>
    <w:rsid w:val="00E85E51"/>
    <w:rsid w:val="00E9086F"/>
    <w:rsid w:val="00E936C4"/>
    <w:rsid w:val="00E94B7B"/>
    <w:rsid w:val="00E958DC"/>
    <w:rsid w:val="00E96296"/>
    <w:rsid w:val="00EA25E0"/>
    <w:rsid w:val="00EA2EED"/>
    <w:rsid w:val="00EA30E2"/>
    <w:rsid w:val="00EA3F35"/>
    <w:rsid w:val="00EA4A5F"/>
    <w:rsid w:val="00EA4F24"/>
    <w:rsid w:val="00EA60FD"/>
    <w:rsid w:val="00EB2DAC"/>
    <w:rsid w:val="00EB2E14"/>
    <w:rsid w:val="00EB32D6"/>
    <w:rsid w:val="00EB38EA"/>
    <w:rsid w:val="00EB468F"/>
    <w:rsid w:val="00EB6650"/>
    <w:rsid w:val="00EB6CD7"/>
    <w:rsid w:val="00EB7502"/>
    <w:rsid w:val="00EB795D"/>
    <w:rsid w:val="00EC0FD6"/>
    <w:rsid w:val="00EC5311"/>
    <w:rsid w:val="00EC7548"/>
    <w:rsid w:val="00ED1A7B"/>
    <w:rsid w:val="00ED1B11"/>
    <w:rsid w:val="00ED248C"/>
    <w:rsid w:val="00ED304A"/>
    <w:rsid w:val="00ED3375"/>
    <w:rsid w:val="00ED3AF1"/>
    <w:rsid w:val="00ED5614"/>
    <w:rsid w:val="00ED6B85"/>
    <w:rsid w:val="00ED6E1A"/>
    <w:rsid w:val="00EE0376"/>
    <w:rsid w:val="00EE0D8C"/>
    <w:rsid w:val="00EE174D"/>
    <w:rsid w:val="00EE1D8F"/>
    <w:rsid w:val="00EE3CFF"/>
    <w:rsid w:val="00EE4412"/>
    <w:rsid w:val="00EE4EC7"/>
    <w:rsid w:val="00EE5535"/>
    <w:rsid w:val="00EE6BD0"/>
    <w:rsid w:val="00EE6EA4"/>
    <w:rsid w:val="00EE758C"/>
    <w:rsid w:val="00EE7D0F"/>
    <w:rsid w:val="00EE7EA1"/>
    <w:rsid w:val="00EE7F04"/>
    <w:rsid w:val="00EF08FA"/>
    <w:rsid w:val="00EF1F82"/>
    <w:rsid w:val="00EF2942"/>
    <w:rsid w:val="00EF3A3D"/>
    <w:rsid w:val="00EF5584"/>
    <w:rsid w:val="00EF6AD1"/>
    <w:rsid w:val="00F00806"/>
    <w:rsid w:val="00F02586"/>
    <w:rsid w:val="00F03713"/>
    <w:rsid w:val="00F03729"/>
    <w:rsid w:val="00F04818"/>
    <w:rsid w:val="00F04995"/>
    <w:rsid w:val="00F104D5"/>
    <w:rsid w:val="00F112E6"/>
    <w:rsid w:val="00F115CC"/>
    <w:rsid w:val="00F14B8F"/>
    <w:rsid w:val="00F156F5"/>
    <w:rsid w:val="00F15C45"/>
    <w:rsid w:val="00F2026A"/>
    <w:rsid w:val="00F20726"/>
    <w:rsid w:val="00F225CA"/>
    <w:rsid w:val="00F24CB9"/>
    <w:rsid w:val="00F31315"/>
    <w:rsid w:val="00F31A84"/>
    <w:rsid w:val="00F332F5"/>
    <w:rsid w:val="00F36599"/>
    <w:rsid w:val="00F42613"/>
    <w:rsid w:val="00F44555"/>
    <w:rsid w:val="00F4496A"/>
    <w:rsid w:val="00F46615"/>
    <w:rsid w:val="00F47845"/>
    <w:rsid w:val="00F53D3F"/>
    <w:rsid w:val="00F618B2"/>
    <w:rsid w:val="00F61B08"/>
    <w:rsid w:val="00F61FCE"/>
    <w:rsid w:val="00F624FB"/>
    <w:rsid w:val="00F65E98"/>
    <w:rsid w:val="00F660B3"/>
    <w:rsid w:val="00F711E2"/>
    <w:rsid w:val="00F72045"/>
    <w:rsid w:val="00F722AC"/>
    <w:rsid w:val="00F72F88"/>
    <w:rsid w:val="00F74777"/>
    <w:rsid w:val="00F74F91"/>
    <w:rsid w:val="00F766A5"/>
    <w:rsid w:val="00F76D90"/>
    <w:rsid w:val="00F80399"/>
    <w:rsid w:val="00F84DDD"/>
    <w:rsid w:val="00F86036"/>
    <w:rsid w:val="00F875D5"/>
    <w:rsid w:val="00F877BB"/>
    <w:rsid w:val="00F90CE1"/>
    <w:rsid w:val="00F92440"/>
    <w:rsid w:val="00F92D88"/>
    <w:rsid w:val="00F94C44"/>
    <w:rsid w:val="00F95158"/>
    <w:rsid w:val="00F95BF4"/>
    <w:rsid w:val="00F96B29"/>
    <w:rsid w:val="00FA061B"/>
    <w:rsid w:val="00FA35FE"/>
    <w:rsid w:val="00FB044D"/>
    <w:rsid w:val="00FB1AAB"/>
    <w:rsid w:val="00FB241A"/>
    <w:rsid w:val="00FB38C6"/>
    <w:rsid w:val="00FB3B41"/>
    <w:rsid w:val="00FB3C16"/>
    <w:rsid w:val="00FB798B"/>
    <w:rsid w:val="00FB7ABC"/>
    <w:rsid w:val="00FC01D4"/>
    <w:rsid w:val="00FC21EF"/>
    <w:rsid w:val="00FC4056"/>
    <w:rsid w:val="00FC49D6"/>
    <w:rsid w:val="00FC55D8"/>
    <w:rsid w:val="00FC5F58"/>
    <w:rsid w:val="00FC6639"/>
    <w:rsid w:val="00FD0673"/>
    <w:rsid w:val="00FD0D55"/>
    <w:rsid w:val="00FD0F3A"/>
    <w:rsid w:val="00FD3225"/>
    <w:rsid w:val="00FD385F"/>
    <w:rsid w:val="00FD4956"/>
    <w:rsid w:val="00FD5825"/>
    <w:rsid w:val="00FD741D"/>
    <w:rsid w:val="00FD7FD9"/>
    <w:rsid w:val="00FE21B9"/>
    <w:rsid w:val="00FE5086"/>
    <w:rsid w:val="00FE5B95"/>
    <w:rsid w:val="00FE6982"/>
    <w:rsid w:val="00FE6A3D"/>
    <w:rsid w:val="00FF1A07"/>
    <w:rsid w:val="00FF24A3"/>
    <w:rsid w:val="00FF2CA9"/>
    <w:rsid w:val="00FF2D3A"/>
    <w:rsid w:val="00FF34ED"/>
    <w:rsid w:val="00FF3881"/>
    <w:rsid w:val="00FF4F18"/>
    <w:rsid w:val="00FF5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9D1B7"/>
  <w15:chartTrackingRefBased/>
  <w15:docId w15:val="{792D3DB9-8938-49CC-9A00-201BC9662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F59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F599F"/>
  </w:style>
  <w:style w:type="character" w:customStyle="1" w:styleId="eop">
    <w:name w:val="eop"/>
    <w:basedOn w:val="DefaultParagraphFont"/>
    <w:rsid w:val="001F599F"/>
  </w:style>
  <w:style w:type="character" w:customStyle="1" w:styleId="superscript">
    <w:name w:val="superscript"/>
    <w:basedOn w:val="DefaultParagraphFont"/>
    <w:rsid w:val="001F599F"/>
  </w:style>
  <w:style w:type="paragraph" w:styleId="FootnoteText">
    <w:name w:val="footnote text"/>
    <w:basedOn w:val="Normal"/>
    <w:link w:val="FootnoteTextChar"/>
    <w:uiPriority w:val="99"/>
    <w:unhideWhenUsed/>
    <w:rsid w:val="001626CF"/>
    <w:pPr>
      <w:spacing w:after="0" w:line="240" w:lineRule="auto"/>
    </w:pPr>
    <w:rPr>
      <w:sz w:val="20"/>
      <w:szCs w:val="20"/>
    </w:rPr>
  </w:style>
  <w:style w:type="character" w:customStyle="1" w:styleId="FootnoteTextChar">
    <w:name w:val="Footnote Text Char"/>
    <w:basedOn w:val="DefaultParagraphFont"/>
    <w:link w:val="FootnoteText"/>
    <w:uiPriority w:val="99"/>
    <w:rsid w:val="001626CF"/>
    <w:rPr>
      <w:sz w:val="20"/>
      <w:szCs w:val="20"/>
    </w:rPr>
  </w:style>
  <w:style w:type="character" w:styleId="FootnoteReference">
    <w:name w:val="footnote reference"/>
    <w:basedOn w:val="DefaultParagraphFont"/>
    <w:uiPriority w:val="99"/>
    <w:semiHidden/>
    <w:unhideWhenUsed/>
    <w:rsid w:val="001626CF"/>
    <w:rPr>
      <w:vertAlign w:val="superscript"/>
    </w:rPr>
  </w:style>
  <w:style w:type="character" w:customStyle="1" w:styleId="highlight">
    <w:name w:val="highlight"/>
    <w:basedOn w:val="DefaultParagraphFont"/>
    <w:rsid w:val="00BD19D9"/>
  </w:style>
  <w:style w:type="paragraph" w:styleId="Header">
    <w:name w:val="header"/>
    <w:basedOn w:val="Normal"/>
    <w:link w:val="HeaderChar"/>
    <w:uiPriority w:val="99"/>
    <w:unhideWhenUsed/>
    <w:rsid w:val="006900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0013"/>
  </w:style>
  <w:style w:type="paragraph" w:styleId="Footer">
    <w:name w:val="footer"/>
    <w:basedOn w:val="Normal"/>
    <w:link w:val="FooterChar"/>
    <w:uiPriority w:val="99"/>
    <w:unhideWhenUsed/>
    <w:rsid w:val="006900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0013"/>
  </w:style>
  <w:style w:type="character" w:styleId="Hyperlink">
    <w:name w:val="Hyperlink"/>
    <w:basedOn w:val="DefaultParagraphFont"/>
    <w:uiPriority w:val="99"/>
    <w:semiHidden/>
    <w:unhideWhenUsed/>
    <w:rsid w:val="001B538A"/>
    <w:rPr>
      <w:color w:val="0563C1"/>
      <w:u w:val="single"/>
    </w:rPr>
  </w:style>
  <w:style w:type="paragraph" w:styleId="NormalWeb">
    <w:name w:val="Normal (Web)"/>
    <w:basedOn w:val="Normal"/>
    <w:uiPriority w:val="99"/>
    <w:unhideWhenUsed/>
    <w:rsid w:val="001B538A"/>
    <w:pPr>
      <w:spacing w:before="100" w:beforeAutospacing="1" w:after="100" w:afterAutospacing="1" w:line="240" w:lineRule="auto"/>
    </w:pPr>
    <w:rPr>
      <w:rFonts w:ascii="Calibri" w:eastAsiaTheme="minorEastAsia" w:hAnsi="Calibri" w:cs="Calibri"/>
    </w:rPr>
  </w:style>
  <w:style w:type="character" w:customStyle="1" w:styleId="ssit">
    <w:name w:val="ss_it"/>
    <w:basedOn w:val="DefaultParagraphFont"/>
    <w:rsid w:val="001B53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44214">
      <w:bodyDiv w:val="1"/>
      <w:marLeft w:val="0"/>
      <w:marRight w:val="0"/>
      <w:marTop w:val="0"/>
      <w:marBottom w:val="0"/>
      <w:divBdr>
        <w:top w:val="none" w:sz="0" w:space="0" w:color="auto"/>
        <w:left w:val="none" w:sz="0" w:space="0" w:color="auto"/>
        <w:bottom w:val="none" w:sz="0" w:space="0" w:color="auto"/>
        <w:right w:val="none" w:sz="0" w:space="0" w:color="auto"/>
      </w:divBdr>
    </w:div>
    <w:div w:id="1194926540">
      <w:bodyDiv w:val="1"/>
      <w:marLeft w:val="0"/>
      <w:marRight w:val="0"/>
      <w:marTop w:val="0"/>
      <w:marBottom w:val="0"/>
      <w:divBdr>
        <w:top w:val="none" w:sz="0" w:space="0" w:color="auto"/>
        <w:left w:val="none" w:sz="0" w:space="0" w:color="auto"/>
        <w:bottom w:val="none" w:sz="0" w:space="0" w:color="auto"/>
        <w:right w:val="none" w:sz="0" w:space="0" w:color="auto"/>
      </w:divBdr>
    </w:div>
    <w:div w:id="1200044306">
      <w:bodyDiv w:val="1"/>
      <w:marLeft w:val="0"/>
      <w:marRight w:val="0"/>
      <w:marTop w:val="0"/>
      <w:marBottom w:val="0"/>
      <w:divBdr>
        <w:top w:val="none" w:sz="0" w:space="0" w:color="auto"/>
        <w:left w:val="none" w:sz="0" w:space="0" w:color="auto"/>
        <w:bottom w:val="none" w:sz="0" w:space="0" w:color="auto"/>
        <w:right w:val="none" w:sz="0" w:space="0" w:color="auto"/>
      </w:divBdr>
      <w:divsChild>
        <w:div w:id="204955040">
          <w:marLeft w:val="0"/>
          <w:marRight w:val="0"/>
          <w:marTop w:val="15"/>
          <w:marBottom w:val="0"/>
          <w:divBdr>
            <w:top w:val="single" w:sz="48" w:space="0" w:color="auto"/>
            <w:left w:val="single" w:sz="48" w:space="0" w:color="auto"/>
            <w:bottom w:val="single" w:sz="48" w:space="0" w:color="auto"/>
            <w:right w:val="single" w:sz="48" w:space="0" w:color="auto"/>
          </w:divBdr>
          <w:divsChild>
            <w:div w:id="1067074074">
              <w:marLeft w:val="0"/>
              <w:marRight w:val="0"/>
              <w:marTop w:val="0"/>
              <w:marBottom w:val="0"/>
              <w:divBdr>
                <w:top w:val="none" w:sz="0" w:space="0" w:color="auto"/>
                <w:left w:val="none" w:sz="0" w:space="0" w:color="auto"/>
                <w:bottom w:val="none" w:sz="0" w:space="0" w:color="auto"/>
                <w:right w:val="none" w:sz="0" w:space="0" w:color="auto"/>
              </w:divBdr>
            </w:div>
          </w:divsChild>
        </w:div>
        <w:div w:id="814180431">
          <w:marLeft w:val="0"/>
          <w:marRight w:val="0"/>
          <w:marTop w:val="15"/>
          <w:marBottom w:val="0"/>
          <w:divBdr>
            <w:top w:val="single" w:sz="48" w:space="0" w:color="auto"/>
            <w:left w:val="single" w:sz="48" w:space="0" w:color="auto"/>
            <w:bottom w:val="single" w:sz="48" w:space="0" w:color="auto"/>
            <w:right w:val="single" w:sz="48" w:space="0" w:color="auto"/>
          </w:divBdr>
          <w:divsChild>
            <w:div w:id="133186339">
              <w:marLeft w:val="0"/>
              <w:marRight w:val="0"/>
              <w:marTop w:val="0"/>
              <w:marBottom w:val="0"/>
              <w:divBdr>
                <w:top w:val="none" w:sz="0" w:space="0" w:color="auto"/>
                <w:left w:val="none" w:sz="0" w:space="0" w:color="auto"/>
                <w:bottom w:val="none" w:sz="0" w:space="0" w:color="auto"/>
                <w:right w:val="none" w:sz="0" w:space="0" w:color="auto"/>
              </w:divBdr>
            </w:div>
          </w:divsChild>
        </w:div>
        <w:div w:id="957833700">
          <w:marLeft w:val="0"/>
          <w:marRight w:val="0"/>
          <w:marTop w:val="15"/>
          <w:marBottom w:val="0"/>
          <w:divBdr>
            <w:top w:val="single" w:sz="48" w:space="0" w:color="auto"/>
            <w:left w:val="single" w:sz="48" w:space="0" w:color="auto"/>
            <w:bottom w:val="single" w:sz="48" w:space="0" w:color="auto"/>
            <w:right w:val="single" w:sz="48" w:space="0" w:color="auto"/>
          </w:divBdr>
          <w:divsChild>
            <w:div w:id="201221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732330">
      <w:bodyDiv w:val="1"/>
      <w:marLeft w:val="0"/>
      <w:marRight w:val="0"/>
      <w:marTop w:val="0"/>
      <w:marBottom w:val="0"/>
      <w:divBdr>
        <w:top w:val="none" w:sz="0" w:space="0" w:color="auto"/>
        <w:left w:val="none" w:sz="0" w:space="0" w:color="auto"/>
        <w:bottom w:val="none" w:sz="0" w:space="0" w:color="auto"/>
        <w:right w:val="none" w:sz="0" w:space="0" w:color="auto"/>
      </w:divBdr>
    </w:div>
    <w:div w:id="1324820434">
      <w:bodyDiv w:val="1"/>
      <w:marLeft w:val="0"/>
      <w:marRight w:val="0"/>
      <w:marTop w:val="0"/>
      <w:marBottom w:val="0"/>
      <w:divBdr>
        <w:top w:val="none" w:sz="0" w:space="0" w:color="auto"/>
        <w:left w:val="none" w:sz="0" w:space="0" w:color="auto"/>
        <w:bottom w:val="none" w:sz="0" w:space="0" w:color="auto"/>
        <w:right w:val="none" w:sz="0" w:space="0" w:color="auto"/>
      </w:divBdr>
      <w:divsChild>
        <w:div w:id="9571932">
          <w:marLeft w:val="0"/>
          <w:marRight w:val="0"/>
          <w:marTop w:val="0"/>
          <w:marBottom w:val="0"/>
          <w:divBdr>
            <w:top w:val="none" w:sz="0" w:space="0" w:color="auto"/>
            <w:left w:val="none" w:sz="0" w:space="0" w:color="auto"/>
            <w:bottom w:val="none" w:sz="0" w:space="0" w:color="auto"/>
            <w:right w:val="none" w:sz="0" w:space="0" w:color="auto"/>
          </w:divBdr>
        </w:div>
        <w:div w:id="26491510">
          <w:marLeft w:val="0"/>
          <w:marRight w:val="0"/>
          <w:marTop w:val="0"/>
          <w:marBottom w:val="0"/>
          <w:divBdr>
            <w:top w:val="none" w:sz="0" w:space="0" w:color="auto"/>
            <w:left w:val="none" w:sz="0" w:space="0" w:color="auto"/>
            <w:bottom w:val="none" w:sz="0" w:space="0" w:color="auto"/>
            <w:right w:val="none" w:sz="0" w:space="0" w:color="auto"/>
          </w:divBdr>
        </w:div>
        <w:div w:id="27799602">
          <w:marLeft w:val="0"/>
          <w:marRight w:val="0"/>
          <w:marTop w:val="0"/>
          <w:marBottom w:val="0"/>
          <w:divBdr>
            <w:top w:val="none" w:sz="0" w:space="0" w:color="auto"/>
            <w:left w:val="none" w:sz="0" w:space="0" w:color="auto"/>
            <w:bottom w:val="none" w:sz="0" w:space="0" w:color="auto"/>
            <w:right w:val="none" w:sz="0" w:space="0" w:color="auto"/>
          </w:divBdr>
        </w:div>
        <w:div w:id="44179672">
          <w:marLeft w:val="0"/>
          <w:marRight w:val="0"/>
          <w:marTop w:val="0"/>
          <w:marBottom w:val="0"/>
          <w:divBdr>
            <w:top w:val="none" w:sz="0" w:space="0" w:color="auto"/>
            <w:left w:val="none" w:sz="0" w:space="0" w:color="auto"/>
            <w:bottom w:val="none" w:sz="0" w:space="0" w:color="auto"/>
            <w:right w:val="none" w:sz="0" w:space="0" w:color="auto"/>
          </w:divBdr>
        </w:div>
        <w:div w:id="111637984">
          <w:marLeft w:val="0"/>
          <w:marRight w:val="0"/>
          <w:marTop w:val="0"/>
          <w:marBottom w:val="0"/>
          <w:divBdr>
            <w:top w:val="none" w:sz="0" w:space="0" w:color="auto"/>
            <w:left w:val="none" w:sz="0" w:space="0" w:color="auto"/>
            <w:bottom w:val="none" w:sz="0" w:space="0" w:color="auto"/>
            <w:right w:val="none" w:sz="0" w:space="0" w:color="auto"/>
          </w:divBdr>
        </w:div>
        <w:div w:id="132866574">
          <w:marLeft w:val="0"/>
          <w:marRight w:val="0"/>
          <w:marTop w:val="0"/>
          <w:marBottom w:val="0"/>
          <w:divBdr>
            <w:top w:val="none" w:sz="0" w:space="0" w:color="auto"/>
            <w:left w:val="none" w:sz="0" w:space="0" w:color="auto"/>
            <w:bottom w:val="none" w:sz="0" w:space="0" w:color="auto"/>
            <w:right w:val="none" w:sz="0" w:space="0" w:color="auto"/>
          </w:divBdr>
        </w:div>
        <w:div w:id="181747796">
          <w:marLeft w:val="0"/>
          <w:marRight w:val="0"/>
          <w:marTop w:val="0"/>
          <w:marBottom w:val="0"/>
          <w:divBdr>
            <w:top w:val="none" w:sz="0" w:space="0" w:color="auto"/>
            <w:left w:val="none" w:sz="0" w:space="0" w:color="auto"/>
            <w:bottom w:val="none" w:sz="0" w:space="0" w:color="auto"/>
            <w:right w:val="none" w:sz="0" w:space="0" w:color="auto"/>
          </w:divBdr>
        </w:div>
        <w:div w:id="239028850">
          <w:marLeft w:val="0"/>
          <w:marRight w:val="0"/>
          <w:marTop w:val="0"/>
          <w:marBottom w:val="0"/>
          <w:divBdr>
            <w:top w:val="none" w:sz="0" w:space="0" w:color="auto"/>
            <w:left w:val="none" w:sz="0" w:space="0" w:color="auto"/>
            <w:bottom w:val="none" w:sz="0" w:space="0" w:color="auto"/>
            <w:right w:val="none" w:sz="0" w:space="0" w:color="auto"/>
          </w:divBdr>
        </w:div>
        <w:div w:id="251208833">
          <w:marLeft w:val="0"/>
          <w:marRight w:val="0"/>
          <w:marTop w:val="0"/>
          <w:marBottom w:val="0"/>
          <w:divBdr>
            <w:top w:val="none" w:sz="0" w:space="0" w:color="auto"/>
            <w:left w:val="none" w:sz="0" w:space="0" w:color="auto"/>
            <w:bottom w:val="none" w:sz="0" w:space="0" w:color="auto"/>
            <w:right w:val="none" w:sz="0" w:space="0" w:color="auto"/>
          </w:divBdr>
        </w:div>
        <w:div w:id="267202194">
          <w:marLeft w:val="0"/>
          <w:marRight w:val="0"/>
          <w:marTop w:val="0"/>
          <w:marBottom w:val="0"/>
          <w:divBdr>
            <w:top w:val="none" w:sz="0" w:space="0" w:color="auto"/>
            <w:left w:val="none" w:sz="0" w:space="0" w:color="auto"/>
            <w:bottom w:val="none" w:sz="0" w:space="0" w:color="auto"/>
            <w:right w:val="none" w:sz="0" w:space="0" w:color="auto"/>
          </w:divBdr>
        </w:div>
        <w:div w:id="283583073">
          <w:marLeft w:val="0"/>
          <w:marRight w:val="0"/>
          <w:marTop w:val="0"/>
          <w:marBottom w:val="0"/>
          <w:divBdr>
            <w:top w:val="none" w:sz="0" w:space="0" w:color="auto"/>
            <w:left w:val="none" w:sz="0" w:space="0" w:color="auto"/>
            <w:bottom w:val="none" w:sz="0" w:space="0" w:color="auto"/>
            <w:right w:val="none" w:sz="0" w:space="0" w:color="auto"/>
          </w:divBdr>
        </w:div>
        <w:div w:id="316761433">
          <w:marLeft w:val="0"/>
          <w:marRight w:val="0"/>
          <w:marTop w:val="0"/>
          <w:marBottom w:val="0"/>
          <w:divBdr>
            <w:top w:val="none" w:sz="0" w:space="0" w:color="auto"/>
            <w:left w:val="none" w:sz="0" w:space="0" w:color="auto"/>
            <w:bottom w:val="none" w:sz="0" w:space="0" w:color="auto"/>
            <w:right w:val="none" w:sz="0" w:space="0" w:color="auto"/>
          </w:divBdr>
        </w:div>
        <w:div w:id="321542497">
          <w:marLeft w:val="0"/>
          <w:marRight w:val="0"/>
          <w:marTop w:val="0"/>
          <w:marBottom w:val="0"/>
          <w:divBdr>
            <w:top w:val="none" w:sz="0" w:space="0" w:color="auto"/>
            <w:left w:val="none" w:sz="0" w:space="0" w:color="auto"/>
            <w:bottom w:val="none" w:sz="0" w:space="0" w:color="auto"/>
            <w:right w:val="none" w:sz="0" w:space="0" w:color="auto"/>
          </w:divBdr>
        </w:div>
        <w:div w:id="324893928">
          <w:marLeft w:val="0"/>
          <w:marRight w:val="0"/>
          <w:marTop w:val="0"/>
          <w:marBottom w:val="0"/>
          <w:divBdr>
            <w:top w:val="none" w:sz="0" w:space="0" w:color="auto"/>
            <w:left w:val="none" w:sz="0" w:space="0" w:color="auto"/>
            <w:bottom w:val="none" w:sz="0" w:space="0" w:color="auto"/>
            <w:right w:val="none" w:sz="0" w:space="0" w:color="auto"/>
          </w:divBdr>
        </w:div>
        <w:div w:id="333067493">
          <w:marLeft w:val="0"/>
          <w:marRight w:val="0"/>
          <w:marTop w:val="0"/>
          <w:marBottom w:val="0"/>
          <w:divBdr>
            <w:top w:val="none" w:sz="0" w:space="0" w:color="auto"/>
            <w:left w:val="none" w:sz="0" w:space="0" w:color="auto"/>
            <w:bottom w:val="none" w:sz="0" w:space="0" w:color="auto"/>
            <w:right w:val="none" w:sz="0" w:space="0" w:color="auto"/>
          </w:divBdr>
        </w:div>
        <w:div w:id="374937610">
          <w:marLeft w:val="0"/>
          <w:marRight w:val="0"/>
          <w:marTop w:val="0"/>
          <w:marBottom w:val="0"/>
          <w:divBdr>
            <w:top w:val="none" w:sz="0" w:space="0" w:color="auto"/>
            <w:left w:val="none" w:sz="0" w:space="0" w:color="auto"/>
            <w:bottom w:val="none" w:sz="0" w:space="0" w:color="auto"/>
            <w:right w:val="none" w:sz="0" w:space="0" w:color="auto"/>
          </w:divBdr>
        </w:div>
        <w:div w:id="422143585">
          <w:marLeft w:val="0"/>
          <w:marRight w:val="0"/>
          <w:marTop w:val="0"/>
          <w:marBottom w:val="0"/>
          <w:divBdr>
            <w:top w:val="none" w:sz="0" w:space="0" w:color="auto"/>
            <w:left w:val="none" w:sz="0" w:space="0" w:color="auto"/>
            <w:bottom w:val="none" w:sz="0" w:space="0" w:color="auto"/>
            <w:right w:val="none" w:sz="0" w:space="0" w:color="auto"/>
          </w:divBdr>
        </w:div>
        <w:div w:id="440690679">
          <w:marLeft w:val="0"/>
          <w:marRight w:val="0"/>
          <w:marTop w:val="0"/>
          <w:marBottom w:val="0"/>
          <w:divBdr>
            <w:top w:val="none" w:sz="0" w:space="0" w:color="auto"/>
            <w:left w:val="none" w:sz="0" w:space="0" w:color="auto"/>
            <w:bottom w:val="none" w:sz="0" w:space="0" w:color="auto"/>
            <w:right w:val="none" w:sz="0" w:space="0" w:color="auto"/>
          </w:divBdr>
        </w:div>
        <w:div w:id="442841244">
          <w:marLeft w:val="0"/>
          <w:marRight w:val="0"/>
          <w:marTop w:val="0"/>
          <w:marBottom w:val="0"/>
          <w:divBdr>
            <w:top w:val="none" w:sz="0" w:space="0" w:color="auto"/>
            <w:left w:val="none" w:sz="0" w:space="0" w:color="auto"/>
            <w:bottom w:val="none" w:sz="0" w:space="0" w:color="auto"/>
            <w:right w:val="none" w:sz="0" w:space="0" w:color="auto"/>
          </w:divBdr>
        </w:div>
        <w:div w:id="447697128">
          <w:marLeft w:val="0"/>
          <w:marRight w:val="0"/>
          <w:marTop w:val="0"/>
          <w:marBottom w:val="0"/>
          <w:divBdr>
            <w:top w:val="none" w:sz="0" w:space="0" w:color="auto"/>
            <w:left w:val="none" w:sz="0" w:space="0" w:color="auto"/>
            <w:bottom w:val="none" w:sz="0" w:space="0" w:color="auto"/>
            <w:right w:val="none" w:sz="0" w:space="0" w:color="auto"/>
          </w:divBdr>
        </w:div>
        <w:div w:id="502282758">
          <w:marLeft w:val="0"/>
          <w:marRight w:val="0"/>
          <w:marTop w:val="0"/>
          <w:marBottom w:val="0"/>
          <w:divBdr>
            <w:top w:val="none" w:sz="0" w:space="0" w:color="auto"/>
            <w:left w:val="none" w:sz="0" w:space="0" w:color="auto"/>
            <w:bottom w:val="none" w:sz="0" w:space="0" w:color="auto"/>
            <w:right w:val="none" w:sz="0" w:space="0" w:color="auto"/>
          </w:divBdr>
        </w:div>
        <w:div w:id="555699917">
          <w:marLeft w:val="0"/>
          <w:marRight w:val="0"/>
          <w:marTop w:val="0"/>
          <w:marBottom w:val="0"/>
          <w:divBdr>
            <w:top w:val="none" w:sz="0" w:space="0" w:color="auto"/>
            <w:left w:val="none" w:sz="0" w:space="0" w:color="auto"/>
            <w:bottom w:val="none" w:sz="0" w:space="0" w:color="auto"/>
            <w:right w:val="none" w:sz="0" w:space="0" w:color="auto"/>
          </w:divBdr>
          <w:divsChild>
            <w:div w:id="9070949">
              <w:marLeft w:val="0"/>
              <w:marRight w:val="0"/>
              <w:marTop w:val="0"/>
              <w:marBottom w:val="0"/>
              <w:divBdr>
                <w:top w:val="none" w:sz="0" w:space="0" w:color="auto"/>
                <w:left w:val="none" w:sz="0" w:space="0" w:color="auto"/>
                <w:bottom w:val="none" w:sz="0" w:space="0" w:color="auto"/>
                <w:right w:val="none" w:sz="0" w:space="0" w:color="auto"/>
              </w:divBdr>
            </w:div>
            <w:div w:id="276566233">
              <w:marLeft w:val="0"/>
              <w:marRight w:val="0"/>
              <w:marTop w:val="0"/>
              <w:marBottom w:val="0"/>
              <w:divBdr>
                <w:top w:val="none" w:sz="0" w:space="0" w:color="auto"/>
                <w:left w:val="none" w:sz="0" w:space="0" w:color="auto"/>
                <w:bottom w:val="none" w:sz="0" w:space="0" w:color="auto"/>
                <w:right w:val="none" w:sz="0" w:space="0" w:color="auto"/>
              </w:divBdr>
            </w:div>
            <w:div w:id="467824113">
              <w:marLeft w:val="0"/>
              <w:marRight w:val="0"/>
              <w:marTop w:val="0"/>
              <w:marBottom w:val="0"/>
              <w:divBdr>
                <w:top w:val="none" w:sz="0" w:space="0" w:color="auto"/>
                <w:left w:val="none" w:sz="0" w:space="0" w:color="auto"/>
                <w:bottom w:val="none" w:sz="0" w:space="0" w:color="auto"/>
                <w:right w:val="none" w:sz="0" w:space="0" w:color="auto"/>
              </w:divBdr>
            </w:div>
            <w:div w:id="598220076">
              <w:marLeft w:val="0"/>
              <w:marRight w:val="0"/>
              <w:marTop w:val="0"/>
              <w:marBottom w:val="0"/>
              <w:divBdr>
                <w:top w:val="none" w:sz="0" w:space="0" w:color="auto"/>
                <w:left w:val="none" w:sz="0" w:space="0" w:color="auto"/>
                <w:bottom w:val="none" w:sz="0" w:space="0" w:color="auto"/>
                <w:right w:val="none" w:sz="0" w:space="0" w:color="auto"/>
              </w:divBdr>
            </w:div>
            <w:div w:id="612975328">
              <w:marLeft w:val="0"/>
              <w:marRight w:val="0"/>
              <w:marTop w:val="0"/>
              <w:marBottom w:val="0"/>
              <w:divBdr>
                <w:top w:val="none" w:sz="0" w:space="0" w:color="auto"/>
                <w:left w:val="none" w:sz="0" w:space="0" w:color="auto"/>
                <w:bottom w:val="none" w:sz="0" w:space="0" w:color="auto"/>
                <w:right w:val="none" w:sz="0" w:space="0" w:color="auto"/>
              </w:divBdr>
            </w:div>
            <w:div w:id="642396490">
              <w:marLeft w:val="0"/>
              <w:marRight w:val="0"/>
              <w:marTop w:val="0"/>
              <w:marBottom w:val="0"/>
              <w:divBdr>
                <w:top w:val="none" w:sz="0" w:space="0" w:color="auto"/>
                <w:left w:val="none" w:sz="0" w:space="0" w:color="auto"/>
                <w:bottom w:val="none" w:sz="0" w:space="0" w:color="auto"/>
                <w:right w:val="none" w:sz="0" w:space="0" w:color="auto"/>
              </w:divBdr>
            </w:div>
            <w:div w:id="651059648">
              <w:marLeft w:val="0"/>
              <w:marRight w:val="0"/>
              <w:marTop w:val="0"/>
              <w:marBottom w:val="0"/>
              <w:divBdr>
                <w:top w:val="none" w:sz="0" w:space="0" w:color="auto"/>
                <w:left w:val="none" w:sz="0" w:space="0" w:color="auto"/>
                <w:bottom w:val="none" w:sz="0" w:space="0" w:color="auto"/>
                <w:right w:val="none" w:sz="0" w:space="0" w:color="auto"/>
              </w:divBdr>
            </w:div>
            <w:div w:id="670108110">
              <w:marLeft w:val="0"/>
              <w:marRight w:val="0"/>
              <w:marTop w:val="0"/>
              <w:marBottom w:val="0"/>
              <w:divBdr>
                <w:top w:val="none" w:sz="0" w:space="0" w:color="auto"/>
                <w:left w:val="none" w:sz="0" w:space="0" w:color="auto"/>
                <w:bottom w:val="none" w:sz="0" w:space="0" w:color="auto"/>
                <w:right w:val="none" w:sz="0" w:space="0" w:color="auto"/>
              </w:divBdr>
            </w:div>
            <w:div w:id="779223405">
              <w:marLeft w:val="0"/>
              <w:marRight w:val="0"/>
              <w:marTop w:val="0"/>
              <w:marBottom w:val="0"/>
              <w:divBdr>
                <w:top w:val="none" w:sz="0" w:space="0" w:color="auto"/>
                <w:left w:val="none" w:sz="0" w:space="0" w:color="auto"/>
                <w:bottom w:val="none" w:sz="0" w:space="0" w:color="auto"/>
                <w:right w:val="none" w:sz="0" w:space="0" w:color="auto"/>
              </w:divBdr>
            </w:div>
            <w:div w:id="885065459">
              <w:marLeft w:val="0"/>
              <w:marRight w:val="0"/>
              <w:marTop w:val="0"/>
              <w:marBottom w:val="0"/>
              <w:divBdr>
                <w:top w:val="none" w:sz="0" w:space="0" w:color="auto"/>
                <w:left w:val="none" w:sz="0" w:space="0" w:color="auto"/>
                <w:bottom w:val="none" w:sz="0" w:space="0" w:color="auto"/>
                <w:right w:val="none" w:sz="0" w:space="0" w:color="auto"/>
              </w:divBdr>
            </w:div>
            <w:div w:id="921715566">
              <w:marLeft w:val="0"/>
              <w:marRight w:val="0"/>
              <w:marTop w:val="0"/>
              <w:marBottom w:val="0"/>
              <w:divBdr>
                <w:top w:val="none" w:sz="0" w:space="0" w:color="auto"/>
                <w:left w:val="none" w:sz="0" w:space="0" w:color="auto"/>
                <w:bottom w:val="none" w:sz="0" w:space="0" w:color="auto"/>
                <w:right w:val="none" w:sz="0" w:space="0" w:color="auto"/>
              </w:divBdr>
            </w:div>
            <w:div w:id="1052927949">
              <w:marLeft w:val="0"/>
              <w:marRight w:val="0"/>
              <w:marTop w:val="0"/>
              <w:marBottom w:val="0"/>
              <w:divBdr>
                <w:top w:val="none" w:sz="0" w:space="0" w:color="auto"/>
                <w:left w:val="none" w:sz="0" w:space="0" w:color="auto"/>
                <w:bottom w:val="none" w:sz="0" w:space="0" w:color="auto"/>
                <w:right w:val="none" w:sz="0" w:space="0" w:color="auto"/>
              </w:divBdr>
            </w:div>
            <w:div w:id="1099376187">
              <w:marLeft w:val="0"/>
              <w:marRight w:val="0"/>
              <w:marTop w:val="0"/>
              <w:marBottom w:val="0"/>
              <w:divBdr>
                <w:top w:val="none" w:sz="0" w:space="0" w:color="auto"/>
                <w:left w:val="none" w:sz="0" w:space="0" w:color="auto"/>
                <w:bottom w:val="none" w:sz="0" w:space="0" w:color="auto"/>
                <w:right w:val="none" w:sz="0" w:space="0" w:color="auto"/>
              </w:divBdr>
            </w:div>
            <w:div w:id="1153373918">
              <w:marLeft w:val="0"/>
              <w:marRight w:val="0"/>
              <w:marTop w:val="0"/>
              <w:marBottom w:val="0"/>
              <w:divBdr>
                <w:top w:val="none" w:sz="0" w:space="0" w:color="auto"/>
                <w:left w:val="none" w:sz="0" w:space="0" w:color="auto"/>
                <w:bottom w:val="none" w:sz="0" w:space="0" w:color="auto"/>
                <w:right w:val="none" w:sz="0" w:space="0" w:color="auto"/>
              </w:divBdr>
            </w:div>
            <w:div w:id="1234504509">
              <w:marLeft w:val="0"/>
              <w:marRight w:val="0"/>
              <w:marTop w:val="0"/>
              <w:marBottom w:val="0"/>
              <w:divBdr>
                <w:top w:val="none" w:sz="0" w:space="0" w:color="auto"/>
                <w:left w:val="none" w:sz="0" w:space="0" w:color="auto"/>
                <w:bottom w:val="none" w:sz="0" w:space="0" w:color="auto"/>
                <w:right w:val="none" w:sz="0" w:space="0" w:color="auto"/>
              </w:divBdr>
            </w:div>
            <w:div w:id="1249077961">
              <w:marLeft w:val="0"/>
              <w:marRight w:val="0"/>
              <w:marTop w:val="0"/>
              <w:marBottom w:val="0"/>
              <w:divBdr>
                <w:top w:val="none" w:sz="0" w:space="0" w:color="auto"/>
                <w:left w:val="none" w:sz="0" w:space="0" w:color="auto"/>
                <w:bottom w:val="none" w:sz="0" w:space="0" w:color="auto"/>
                <w:right w:val="none" w:sz="0" w:space="0" w:color="auto"/>
              </w:divBdr>
            </w:div>
            <w:div w:id="1253394307">
              <w:marLeft w:val="0"/>
              <w:marRight w:val="0"/>
              <w:marTop w:val="0"/>
              <w:marBottom w:val="0"/>
              <w:divBdr>
                <w:top w:val="none" w:sz="0" w:space="0" w:color="auto"/>
                <w:left w:val="none" w:sz="0" w:space="0" w:color="auto"/>
                <w:bottom w:val="none" w:sz="0" w:space="0" w:color="auto"/>
                <w:right w:val="none" w:sz="0" w:space="0" w:color="auto"/>
              </w:divBdr>
            </w:div>
            <w:div w:id="1317145859">
              <w:marLeft w:val="0"/>
              <w:marRight w:val="0"/>
              <w:marTop w:val="0"/>
              <w:marBottom w:val="0"/>
              <w:divBdr>
                <w:top w:val="none" w:sz="0" w:space="0" w:color="auto"/>
                <w:left w:val="none" w:sz="0" w:space="0" w:color="auto"/>
                <w:bottom w:val="none" w:sz="0" w:space="0" w:color="auto"/>
                <w:right w:val="none" w:sz="0" w:space="0" w:color="auto"/>
              </w:divBdr>
            </w:div>
            <w:div w:id="1367363569">
              <w:marLeft w:val="0"/>
              <w:marRight w:val="0"/>
              <w:marTop w:val="0"/>
              <w:marBottom w:val="0"/>
              <w:divBdr>
                <w:top w:val="none" w:sz="0" w:space="0" w:color="auto"/>
                <w:left w:val="none" w:sz="0" w:space="0" w:color="auto"/>
                <w:bottom w:val="none" w:sz="0" w:space="0" w:color="auto"/>
                <w:right w:val="none" w:sz="0" w:space="0" w:color="auto"/>
              </w:divBdr>
            </w:div>
            <w:div w:id="1571689673">
              <w:marLeft w:val="0"/>
              <w:marRight w:val="0"/>
              <w:marTop w:val="0"/>
              <w:marBottom w:val="0"/>
              <w:divBdr>
                <w:top w:val="none" w:sz="0" w:space="0" w:color="auto"/>
                <w:left w:val="none" w:sz="0" w:space="0" w:color="auto"/>
                <w:bottom w:val="none" w:sz="0" w:space="0" w:color="auto"/>
                <w:right w:val="none" w:sz="0" w:space="0" w:color="auto"/>
              </w:divBdr>
            </w:div>
            <w:div w:id="1616718905">
              <w:marLeft w:val="0"/>
              <w:marRight w:val="0"/>
              <w:marTop w:val="0"/>
              <w:marBottom w:val="0"/>
              <w:divBdr>
                <w:top w:val="none" w:sz="0" w:space="0" w:color="auto"/>
                <w:left w:val="none" w:sz="0" w:space="0" w:color="auto"/>
                <w:bottom w:val="none" w:sz="0" w:space="0" w:color="auto"/>
                <w:right w:val="none" w:sz="0" w:space="0" w:color="auto"/>
              </w:divBdr>
            </w:div>
            <w:div w:id="1715882202">
              <w:marLeft w:val="0"/>
              <w:marRight w:val="0"/>
              <w:marTop w:val="0"/>
              <w:marBottom w:val="0"/>
              <w:divBdr>
                <w:top w:val="none" w:sz="0" w:space="0" w:color="auto"/>
                <w:left w:val="none" w:sz="0" w:space="0" w:color="auto"/>
                <w:bottom w:val="none" w:sz="0" w:space="0" w:color="auto"/>
                <w:right w:val="none" w:sz="0" w:space="0" w:color="auto"/>
              </w:divBdr>
            </w:div>
            <w:div w:id="1726106200">
              <w:marLeft w:val="0"/>
              <w:marRight w:val="0"/>
              <w:marTop w:val="0"/>
              <w:marBottom w:val="0"/>
              <w:divBdr>
                <w:top w:val="none" w:sz="0" w:space="0" w:color="auto"/>
                <w:left w:val="none" w:sz="0" w:space="0" w:color="auto"/>
                <w:bottom w:val="none" w:sz="0" w:space="0" w:color="auto"/>
                <w:right w:val="none" w:sz="0" w:space="0" w:color="auto"/>
              </w:divBdr>
            </w:div>
            <w:div w:id="1769080258">
              <w:marLeft w:val="0"/>
              <w:marRight w:val="0"/>
              <w:marTop w:val="0"/>
              <w:marBottom w:val="0"/>
              <w:divBdr>
                <w:top w:val="none" w:sz="0" w:space="0" w:color="auto"/>
                <w:left w:val="none" w:sz="0" w:space="0" w:color="auto"/>
                <w:bottom w:val="none" w:sz="0" w:space="0" w:color="auto"/>
                <w:right w:val="none" w:sz="0" w:space="0" w:color="auto"/>
              </w:divBdr>
            </w:div>
            <w:div w:id="1929119736">
              <w:marLeft w:val="0"/>
              <w:marRight w:val="0"/>
              <w:marTop w:val="0"/>
              <w:marBottom w:val="0"/>
              <w:divBdr>
                <w:top w:val="none" w:sz="0" w:space="0" w:color="auto"/>
                <w:left w:val="none" w:sz="0" w:space="0" w:color="auto"/>
                <w:bottom w:val="none" w:sz="0" w:space="0" w:color="auto"/>
                <w:right w:val="none" w:sz="0" w:space="0" w:color="auto"/>
              </w:divBdr>
            </w:div>
            <w:div w:id="2022967452">
              <w:marLeft w:val="0"/>
              <w:marRight w:val="0"/>
              <w:marTop w:val="0"/>
              <w:marBottom w:val="0"/>
              <w:divBdr>
                <w:top w:val="none" w:sz="0" w:space="0" w:color="auto"/>
                <w:left w:val="none" w:sz="0" w:space="0" w:color="auto"/>
                <w:bottom w:val="none" w:sz="0" w:space="0" w:color="auto"/>
                <w:right w:val="none" w:sz="0" w:space="0" w:color="auto"/>
              </w:divBdr>
            </w:div>
            <w:div w:id="2077782630">
              <w:marLeft w:val="0"/>
              <w:marRight w:val="0"/>
              <w:marTop w:val="0"/>
              <w:marBottom w:val="0"/>
              <w:divBdr>
                <w:top w:val="none" w:sz="0" w:space="0" w:color="auto"/>
                <w:left w:val="none" w:sz="0" w:space="0" w:color="auto"/>
                <w:bottom w:val="none" w:sz="0" w:space="0" w:color="auto"/>
                <w:right w:val="none" w:sz="0" w:space="0" w:color="auto"/>
              </w:divBdr>
            </w:div>
          </w:divsChild>
        </w:div>
        <w:div w:id="572084454">
          <w:marLeft w:val="0"/>
          <w:marRight w:val="0"/>
          <w:marTop w:val="0"/>
          <w:marBottom w:val="0"/>
          <w:divBdr>
            <w:top w:val="none" w:sz="0" w:space="0" w:color="auto"/>
            <w:left w:val="none" w:sz="0" w:space="0" w:color="auto"/>
            <w:bottom w:val="none" w:sz="0" w:space="0" w:color="auto"/>
            <w:right w:val="none" w:sz="0" w:space="0" w:color="auto"/>
          </w:divBdr>
        </w:div>
        <w:div w:id="577637970">
          <w:marLeft w:val="0"/>
          <w:marRight w:val="0"/>
          <w:marTop w:val="0"/>
          <w:marBottom w:val="0"/>
          <w:divBdr>
            <w:top w:val="none" w:sz="0" w:space="0" w:color="auto"/>
            <w:left w:val="none" w:sz="0" w:space="0" w:color="auto"/>
            <w:bottom w:val="none" w:sz="0" w:space="0" w:color="auto"/>
            <w:right w:val="none" w:sz="0" w:space="0" w:color="auto"/>
          </w:divBdr>
        </w:div>
        <w:div w:id="591738853">
          <w:marLeft w:val="0"/>
          <w:marRight w:val="0"/>
          <w:marTop w:val="0"/>
          <w:marBottom w:val="0"/>
          <w:divBdr>
            <w:top w:val="none" w:sz="0" w:space="0" w:color="auto"/>
            <w:left w:val="none" w:sz="0" w:space="0" w:color="auto"/>
            <w:bottom w:val="none" w:sz="0" w:space="0" w:color="auto"/>
            <w:right w:val="none" w:sz="0" w:space="0" w:color="auto"/>
          </w:divBdr>
        </w:div>
        <w:div w:id="594242926">
          <w:marLeft w:val="0"/>
          <w:marRight w:val="0"/>
          <w:marTop w:val="0"/>
          <w:marBottom w:val="0"/>
          <w:divBdr>
            <w:top w:val="none" w:sz="0" w:space="0" w:color="auto"/>
            <w:left w:val="none" w:sz="0" w:space="0" w:color="auto"/>
            <w:bottom w:val="none" w:sz="0" w:space="0" w:color="auto"/>
            <w:right w:val="none" w:sz="0" w:space="0" w:color="auto"/>
          </w:divBdr>
        </w:div>
        <w:div w:id="599802227">
          <w:marLeft w:val="0"/>
          <w:marRight w:val="0"/>
          <w:marTop w:val="0"/>
          <w:marBottom w:val="0"/>
          <w:divBdr>
            <w:top w:val="none" w:sz="0" w:space="0" w:color="auto"/>
            <w:left w:val="none" w:sz="0" w:space="0" w:color="auto"/>
            <w:bottom w:val="none" w:sz="0" w:space="0" w:color="auto"/>
            <w:right w:val="none" w:sz="0" w:space="0" w:color="auto"/>
          </w:divBdr>
        </w:div>
        <w:div w:id="623273429">
          <w:marLeft w:val="0"/>
          <w:marRight w:val="0"/>
          <w:marTop w:val="0"/>
          <w:marBottom w:val="0"/>
          <w:divBdr>
            <w:top w:val="none" w:sz="0" w:space="0" w:color="auto"/>
            <w:left w:val="none" w:sz="0" w:space="0" w:color="auto"/>
            <w:bottom w:val="none" w:sz="0" w:space="0" w:color="auto"/>
            <w:right w:val="none" w:sz="0" w:space="0" w:color="auto"/>
          </w:divBdr>
        </w:div>
        <w:div w:id="659164733">
          <w:marLeft w:val="0"/>
          <w:marRight w:val="0"/>
          <w:marTop w:val="0"/>
          <w:marBottom w:val="0"/>
          <w:divBdr>
            <w:top w:val="none" w:sz="0" w:space="0" w:color="auto"/>
            <w:left w:val="none" w:sz="0" w:space="0" w:color="auto"/>
            <w:bottom w:val="none" w:sz="0" w:space="0" w:color="auto"/>
            <w:right w:val="none" w:sz="0" w:space="0" w:color="auto"/>
          </w:divBdr>
        </w:div>
        <w:div w:id="690685551">
          <w:marLeft w:val="0"/>
          <w:marRight w:val="0"/>
          <w:marTop w:val="0"/>
          <w:marBottom w:val="0"/>
          <w:divBdr>
            <w:top w:val="none" w:sz="0" w:space="0" w:color="auto"/>
            <w:left w:val="none" w:sz="0" w:space="0" w:color="auto"/>
            <w:bottom w:val="none" w:sz="0" w:space="0" w:color="auto"/>
            <w:right w:val="none" w:sz="0" w:space="0" w:color="auto"/>
          </w:divBdr>
        </w:div>
        <w:div w:id="721254276">
          <w:marLeft w:val="0"/>
          <w:marRight w:val="0"/>
          <w:marTop w:val="0"/>
          <w:marBottom w:val="0"/>
          <w:divBdr>
            <w:top w:val="none" w:sz="0" w:space="0" w:color="auto"/>
            <w:left w:val="none" w:sz="0" w:space="0" w:color="auto"/>
            <w:bottom w:val="none" w:sz="0" w:space="0" w:color="auto"/>
            <w:right w:val="none" w:sz="0" w:space="0" w:color="auto"/>
          </w:divBdr>
        </w:div>
        <w:div w:id="793987470">
          <w:marLeft w:val="0"/>
          <w:marRight w:val="0"/>
          <w:marTop w:val="0"/>
          <w:marBottom w:val="0"/>
          <w:divBdr>
            <w:top w:val="none" w:sz="0" w:space="0" w:color="auto"/>
            <w:left w:val="none" w:sz="0" w:space="0" w:color="auto"/>
            <w:bottom w:val="none" w:sz="0" w:space="0" w:color="auto"/>
            <w:right w:val="none" w:sz="0" w:space="0" w:color="auto"/>
          </w:divBdr>
        </w:div>
        <w:div w:id="810248589">
          <w:marLeft w:val="0"/>
          <w:marRight w:val="0"/>
          <w:marTop w:val="0"/>
          <w:marBottom w:val="0"/>
          <w:divBdr>
            <w:top w:val="none" w:sz="0" w:space="0" w:color="auto"/>
            <w:left w:val="none" w:sz="0" w:space="0" w:color="auto"/>
            <w:bottom w:val="none" w:sz="0" w:space="0" w:color="auto"/>
            <w:right w:val="none" w:sz="0" w:space="0" w:color="auto"/>
          </w:divBdr>
        </w:div>
        <w:div w:id="858473580">
          <w:marLeft w:val="0"/>
          <w:marRight w:val="0"/>
          <w:marTop w:val="0"/>
          <w:marBottom w:val="0"/>
          <w:divBdr>
            <w:top w:val="none" w:sz="0" w:space="0" w:color="auto"/>
            <w:left w:val="none" w:sz="0" w:space="0" w:color="auto"/>
            <w:bottom w:val="none" w:sz="0" w:space="0" w:color="auto"/>
            <w:right w:val="none" w:sz="0" w:space="0" w:color="auto"/>
          </w:divBdr>
        </w:div>
        <w:div w:id="859323251">
          <w:marLeft w:val="0"/>
          <w:marRight w:val="0"/>
          <w:marTop w:val="0"/>
          <w:marBottom w:val="0"/>
          <w:divBdr>
            <w:top w:val="none" w:sz="0" w:space="0" w:color="auto"/>
            <w:left w:val="none" w:sz="0" w:space="0" w:color="auto"/>
            <w:bottom w:val="none" w:sz="0" w:space="0" w:color="auto"/>
            <w:right w:val="none" w:sz="0" w:space="0" w:color="auto"/>
          </w:divBdr>
        </w:div>
        <w:div w:id="876890751">
          <w:marLeft w:val="0"/>
          <w:marRight w:val="0"/>
          <w:marTop w:val="0"/>
          <w:marBottom w:val="0"/>
          <w:divBdr>
            <w:top w:val="none" w:sz="0" w:space="0" w:color="auto"/>
            <w:left w:val="none" w:sz="0" w:space="0" w:color="auto"/>
            <w:bottom w:val="none" w:sz="0" w:space="0" w:color="auto"/>
            <w:right w:val="none" w:sz="0" w:space="0" w:color="auto"/>
          </w:divBdr>
        </w:div>
        <w:div w:id="883253022">
          <w:marLeft w:val="0"/>
          <w:marRight w:val="0"/>
          <w:marTop w:val="0"/>
          <w:marBottom w:val="0"/>
          <w:divBdr>
            <w:top w:val="none" w:sz="0" w:space="0" w:color="auto"/>
            <w:left w:val="none" w:sz="0" w:space="0" w:color="auto"/>
            <w:bottom w:val="none" w:sz="0" w:space="0" w:color="auto"/>
            <w:right w:val="none" w:sz="0" w:space="0" w:color="auto"/>
          </w:divBdr>
        </w:div>
        <w:div w:id="888877684">
          <w:marLeft w:val="0"/>
          <w:marRight w:val="0"/>
          <w:marTop w:val="0"/>
          <w:marBottom w:val="0"/>
          <w:divBdr>
            <w:top w:val="none" w:sz="0" w:space="0" w:color="auto"/>
            <w:left w:val="none" w:sz="0" w:space="0" w:color="auto"/>
            <w:bottom w:val="none" w:sz="0" w:space="0" w:color="auto"/>
            <w:right w:val="none" w:sz="0" w:space="0" w:color="auto"/>
          </w:divBdr>
        </w:div>
        <w:div w:id="907303411">
          <w:marLeft w:val="0"/>
          <w:marRight w:val="0"/>
          <w:marTop w:val="0"/>
          <w:marBottom w:val="0"/>
          <w:divBdr>
            <w:top w:val="none" w:sz="0" w:space="0" w:color="auto"/>
            <w:left w:val="none" w:sz="0" w:space="0" w:color="auto"/>
            <w:bottom w:val="none" w:sz="0" w:space="0" w:color="auto"/>
            <w:right w:val="none" w:sz="0" w:space="0" w:color="auto"/>
          </w:divBdr>
        </w:div>
        <w:div w:id="916594760">
          <w:marLeft w:val="0"/>
          <w:marRight w:val="0"/>
          <w:marTop w:val="0"/>
          <w:marBottom w:val="0"/>
          <w:divBdr>
            <w:top w:val="none" w:sz="0" w:space="0" w:color="auto"/>
            <w:left w:val="none" w:sz="0" w:space="0" w:color="auto"/>
            <w:bottom w:val="none" w:sz="0" w:space="0" w:color="auto"/>
            <w:right w:val="none" w:sz="0" w:space="0" w:color="auto"/>
          </w:divBdr>
        </w:div>
        <w:div w:id="959258817">
          <w:marLeft w:val="0"/>
          <w:marRight w:val="0"/>
          <w:marTop w:val="0"/>
          <w:marBottom w:val="0"/>
          <w:divBdr>
            <w:top w:val="none" w:sz="0" w:space="0" w:color="auto"/>
            <w:left w:val="none" w:sz="0" w:space="0" w:color="auto"/>
            <w:bottom w:val="none" w:sz="0" w:space="0" w:color="auto"/>
            <w:right w:val="none" w:sz="0" w:space="0" w:color="auto"/>
          </w:divBdr>
        </w:div>
        <w:div w:id="985278691">
          <w:marLeft w:val="0"/>
          <w:marRight w:val="0"/>
          <w:marTop w:val="0"/>
          <w:marBottom w:val="0"/>
          <w:divBdr>
            <w:top w:val="none" w:sz="0" w:space="0" w:color="auto"/>
            <w:left w:val="none" w:sz="0" w:space="0" w:color="auto"/>
            <w:bottom w:val="none" w:sz="0" w:space="0" w:color="auto"/>
            <w:right w:val="none" w:sz="0" w:space="0" w:color="auto"/>
          </w:divBdr>
        </w:div>
        <w:div w:id="1021470163">
          <w:marLeft w:val="0"/>
          <w:marRight w:val="0"/>
          <w:marTop w:val="0"/>
          <w:marBottom w:val="0"/>
          <w:divBdr>
            <w:top w:val="none" w:sz="0" w:space="0" w:color="auto"/>
            <w:left w:val="none" w:sz="0" w:space="0" w:color="auto"/>
            <w:bottom w:val="none" w:sz="0" w:space="0" w:color="auto"/>
            <w:right w:val="none" w:sz="0" w:space="0" w:color="auto"/>
          </w:divBdr>
        </w:div>
        <w:div w:id="1041705975">
          <w:marLeft w:val="0"/>
          <w:marRight w:val="0"/>
          <w:marTop w:val="0"/>
          <w:marBottom w:val="0"/>
          <w:divBdr>
            <w:top w:val="none" w:sz="0" w:space="0" w:color="auto"/>
            <w:left w:val="none" w:sz="0" w:space="0" w:color="auto"/>
            <w:bottom w:val="none" w:sz="0" w:space="0" w:color="auto"/>
            <w:right w:val="none" w:sz="0" w:space="0" w:color="auto"/>
          </w:divBdr>
        </w:div>
        <w:div w:id="1063872284">
          <w:marLeft w:val="0"/>
          <w:marRight w:val="0"/>
          <w:marTop w:val="0"/>
          <w:marBottom w:val="0"/>
          <w:divBdr>
            <w:top w:val="none" w:sz="0" w:space="0" w:color="auto"/>
            <w:left w:val="none" w:sz="0" w:space="0" w:color="auto"/>
            <w:bottom w:val="none" w:sz="0" w:space="0" w:color="auto"/>
            <w:right w:val="none" w:sz="0" w:space="0" w:color="auto"/>
          </w:divBdr>
        </w:div>
        <w:div w:id="1116757329">
          <w:marLeft w:val="0"/>
          <w:marRight w:val="0"/>
          <w:marTop w:val="0"/>
          <w:marBottom w:val="0"/>
          <w:divBdr>
            <w:top w:val="none" w:sz="0" w:space="0" w:color="auto"/>
            <w:left w:val="none" w:sz="0" w:space="0" w:color="auto"/>
            <w:bottom w:val="none" w:sz="0" w:space="0" w:color="auto"/>
            <w:right w:val="none" w:sz="0" w:space="0" w:color="auto"/>
          </w:divBdr>
        </w:div>
        <w:div w:id="1132166403">
          <w:marLeft w:val="0"/>
          <w:marRight w:val="0"/>
          <w:marTop w:val="0"/>
          <w:marBottom w:val="0"/>
          <w:divBdr>
            <w:top w:val="none" w:sz="0" w:space="0" w:color="auto"/>
            <w:left w:val="none" w:sz="0" w:space="0" w:color="auto"/>
            <w:bottom w:val="none" w:sz="0" w:space="0" w:color="auto"/>
            <w:right w:val="none" w:sz="0" w:space="0" w:color="auto"/>
          </w:divBdr>
        </w:div>
        <w:div w:id="1147815632">
          <w:marLeft w:val="0"/>
          <w:marRight w:val="0"/>
          <w:marTop w:val="0"/>
          <w:marBottom w:val="0"/>
          <w:divBdr>
            <w:top w:val="none" w:sz="0" w:space="0" w:color="auto"/>
            <w:left w:val="none" w:sz="0" w:space="0" w:color="auto"/>
            <w:bottom w:val="none" w:sz="0" w:space="0" w:color="auto"/>
            <w:right w:val="none" w:sz="0" w:space="0" w:color="auto"/>
          </w:divBdr>
        </w:div>
        <w:div w:id="1225945434">
          <w:marLeft w:val="0"/>
          <w:marRight w:val="0"/>
          <w:marTop w:val="0"/>
          <w:marBottom w:val="0"/>
          <w:divBdr>
            <w:top w:val="none" w:sz="0" w:space="0" w:color="auto"/>
            <w:left w:val="none" w:sz="0" w:space="0" w:color="auto"/>
            <w:bottom w:val="none" w:sz="0" w:space="0" w:color="auto"/>
            <w:right w:val="none" w:sz="0" w:space="0" w:color="auto"/>
          </w:divBdr>
        </w:div>
        <w:div w:id="1262880710">
          <w:marLeft w:val="0"/>
          <w:marRight w:val="0"/>
          <w:marTop w:val="0"/>
          <w:marBottom w:val="0"/>
          <w:divBdr>
            <w:top w:val="none" w:sz="0" w:space="0" w:color="auto"/>
            <w:left w:val="none" w:sz="0" w:space="0" w:color="auto"/>
            <w:bottom w:val="none" w:sz="0" w:space="0" w:color="auto"/>
            <w:right w:val="none" w:sz="0" w:space="0" w:color="auto"/>
          </w:divBdr>
        </w:div>
        <w:div w:id="1287665220">
          <w:marLeft w:val="0"/>
          <w:marRight w:val="0"/>
          <w:marTop w:val="0"/>
          <w:marBottom w:val="0"/>
          <w:divBdr>
            <w:top w:val="none" w:sz="0" w:space="0" w:color="auto"/>
            <w:left w:val="none" w:sz="0" w:space="0" w:color="auto"/>
            <w:bottom w:val="none" w:sz="0" w:space="0" w:color="auto"/>
            <w:right w:val="none" w:sz="0" w:space="0" w:color="auto"/>
          </w:divBdr>
        </w:div>
        <w:div w:id="1300652202">
          <w:marLeft w:val="0"/>
          <w:marRight w:val="0"/>
          <w:marTop w:val="0"/>
          <w:marBottom w:val="0"/>
          <w:divBdr>
            <w:top w:val="none" w:sz="0" w:space="0" w:color="auto"/>
            <w:left w:val="none" w:sz="0" w:space="0" w:color="auto"/>
            <w:bottom w:val="none" w:sz="0" w:space="0" w:color="auto"/>
            <w:right w:val="none" w:sz="0" w:space="0" w:color="auto"/>
          </w:divBdr>
        </w:div>
        <w:div w:id="1304458044">
          <w:marLeft w:val="0"/>
          <w:marRight w:val="0"/>
          <w:marTop w:val="0"/>
          <w:marBottom w:val="0"/>
          <w:divBdr>
            <w:top w:val="none" w:sz="0" w:space="0" w:color="auto"/>
            <w:left w:val="none" w:sz="0" w:space="0" w:color="auto"/>
            <w:bottom w:val="none" w:sz="0" w:space="0" w:color="auto"/>
            <w:right w:val="none" w:sz="0" w:space="0" w:color="auto"/>
          </w:divBdr>
        </w:div>
        <w:div w:id="1308970741">
          <w:marLeft w:val="0"/>
          <w:marRight w:val="0"/>
          <w:marTop w:val="0"/>
          <w:marBottom w:val="0"/>
          <w:divBdr>
            <w:top w:val="none" w:sz="0" w:space="0" w:color="auto"/>
            <w:left w:val="none" w:sz="0" w:space="0" w:color="auto"/>
            <w:bottom w:val="none" w:sz="0" w:space="0" w:color="auto"/>
            <w:right w:val="none" w:sz="0" w:space="0" w:color="auto"/>
          </w:divBdr>
        </w:div>
        <w:div w:id="1328173448">
          <w:marLeft w:val="0"/>
          <w:marRight w:val="0"/>
          <w:marTop w:val="0"/>
          <w:marBottom w:val="0"/>
          <w:divBdr>
            <w:top w:val="none" w:sz="0" w:space="0" w:color="auto"/>
            <w:left w:val="none" w:sz="0" w:space="0" w:color="auto"/>
            <w:bottom w:val="none" w:sz="0" w:space="0" w:color="auto"/>
            <w:right w:val="none" w:sz="0" w:space="0" w:color="auto"/>
          </w:divBdr>
        </w:div>
        <w:div w:id="1330937708">
          <w:marLeft w:val="0"/>
          <w:marRight w:val="0"/>
          <w:marTop w:val="0"/>
          <w:marBottom w:val="0"/>
          <w:divBdr>
            <w:top w:val="none" w:sz="0" w:space="0" w:color="auto"/>
            <w:left w:val="none" w:sz="0" w:space="0" w:color="auto"/>
            <w:bottom w:val="none" w:sz="0" w:space="0" w:color="auto"/>
            <w:right w:val="none" w:sz="0" w:space="0" w:color="auto"/>
          </w:divBdr>
        </w:div>
        <w:div w:id="1369722769">
          <w:marLeft w:val="0"/>
          <w:marRight w:val="0"/>
          <w:marTop w:val="0"/>
          <w:marBottom w:val="0"/>
          <w:divBdr>
            <w:top w:val="none" w:sz="0" w:space="0" w:color="auto"/>
            <w:left w:val="none" w:sz="0" w:space="0" w:color="auto"/>
            <w:bottom w:val="none" w:sz="0" w:space="0" w:color="auto"/>
            <w:right w:val="none" w:sz="0" w:space="0" w:color="auto"/>
          </w:divBdr>
        </w:div>
        <w:div w:id="1429353704">
          <w:marLeft w:val="0"/>
          <w:marRight w:val="0"/>
          <w:marTop w:val="0"/>
          <w:marBottom w:val="0"/>
          <w:divBdr>
            <w:top w:val="none" w:sz="0" w:space="0" w:color="auto"/>
            <w:left w:val="none" w:sz="0" w:space="0" w:color="auto"/>
            <w:bottom w:val="none" w:sz="0" w:space="0" w:color="auto"/>
            <w:right w:val="none" w:sz="0" w:space="0" w:color="auto"/>
          </w:divBdr>
        </w:div>
        <w:div w:id="1438521184">
          <w:marLeft w:val="0"/>
          <w:marRight w:val="0"/>
          <w:marTop w:val="0"/>
          <w:marBottom w:val="0"/>
          <w:divBdr>
            <w:top w:val="none" w:sz="0" w:space="0" w:color="auto"/>
            <w:left w:val="none" w:sz="0" w:space="0" w:color="auto"/>
            <w:bottom w:val="none" w:sz="0" w:space="0" w:color="auto"/>
            <w:right w:val="none" w:sz="0" w:space="0" w:color="auto"/>
          </w:divBdr>
        </w:div>
        <w:div w:id="1488592913">
          <w:marLeft w:val="0"/>
          <w:marRight w:val="0"/>
          <w:marTop w:val="0"/>
          <w:marBottom w:val="0"/>
          <w:divBdr>
            <w:top w:val="none" w:sz="0" w:space="0" w:color="auto"/>
            <w:left w:val="none" w:sz="0" w:space="0" w:color="auto"/>
            <w:bottom w:val="none" w:sz="0" w:space="0" w:color="auto"/>
            <w:right w:val="none" w:sz="0" w:space="0" w:color="auto"/>
          </w:divBdr>
        </w:div>
        <w:div w:id="1583832033">
          <w:marLeft w:val="0"/>
          <w:marRight w:val="0"/>
          <w:marTop w:val="0"/>
          <w:marBottom w:val="0"/>
          <w:divBdr>
            <w:top w:val="none" w:sz="0" w:space="0" w:color="auto"/>
            <w:left w:val="none" w:sz="0" w:space="0" w:color="auto"/>
            <w:bottom w:val="none" w:sz="0" w:space="0" w:color="auto"/>
            <w:right w:val="none" w:sz="0" w:space="0" w:color="auto"/>
          </w:divBdr>
        </w:div>
        <w:div w:id="1588267550">
          <w:marLeft w:val="0"/>
          <w:marRight w:val="0"/>
          <w:marTop w:val="0"/>
          <w:marBottom w:val="0"/>
          <w:divBdr>
            <w:top w:val="none" w:sz="0" w:space="0" w:color="auto"/>
            <w:left w:val="none" w:sz="0" w:space="0" w:color="auto"/>
            <w:bottom w:val="none" w:sz="0" w:space="0" w:color="auto"/>
            <w:right w:val="none" w:sz="0" w:space="0" w:color="auto"/>
          </w:divBdr>
        </w:div>
        <w:div w:id="1614171904">
          <w:marLeft w:val="0"/>
          <w:marRight w:val="0"/>
          <w:marTop w:val="0"/>
          <w:marBottom w:val="0"/>
          <w:divBdr>
            <w:top w:val="none" w:sz="0" w:space="0" w:color="auto"/>
            <w:left w:val="none" w:sz="0" w:space="0" w:color="auto"/>
            <w:bottom w:val="none" w:sz="0" w:space="0" w:color="auto"/>
            <w:right w:val="none" w:sz="0" w:space="0" w:color="auto"/>
          </w:divBdr>
        </w:div>
        <w:div w:id="1637639934">
          <w:marLeft w:val="0"/>
          <w:marRight w:val="0"/>
          <w:marTop w:val="0"/>
          <w:marBottom w:val="0"/>
          <w:divBdr>
            <w:top w:val="none" w:sz="0" w:space="0" w:color="auto"/>
            <w:left w:val="none" w:sz="0" w:space="0" w:color="auto"/>
            <w:bottom w:val="none" w:sz="0" w:space="0" w:color="auto"/>
            <w:right w:val="none" w:sz="0" w:space="0" w:color="auto"/>
          </w:divBdr>
        </w:div>
        <w:div w:id="1642687274">
          <w:marLeft w:val="0"/>
          <w:marRight w:val="0"/>
          <w:marTop w:val="0"/>
          <w:marBottom w:val="0"/>
          <w:divBdr>
            <w:top w:val="none" w:sz="0" w:space="0" w:color="auto"/>
            <w:left w:val="none" w:sz="0" w:space="0" w:color="auto"/>
            <w:bottom w:val="none" w:sz="0" w:space="0" w:color="auto"/>
            <w:right w:val="none" w:sz="0" w:space="0" w:color="auto"/>
          </w:divBdr>
        </w:div>
        <w:div w:id="1650328170">
          <w:marLeft w:val="0"/>
          <w:marRight w:val="0"/>
          <w:marTop w:val="0"/>
          <w:marBottom w:val="0"/>
          <w:divBdr>
            <w:top w:val="none" w:sz="0" w:space="0" w:color="auto"/>
            <w:left w:val="none" w:sz="0" w:space="0" w:color="auto"/>
            <w:bottom w:val="none" w:sz="0" w:space="0" w:color="auto"/>
            <w:right w:val="none" w:sz="0" w:space="0" w:color="auto"/>
          </w:divBdr>
        </w:div>
        <w:div w:id="1651789987">
          <w:marLeft w:val="0"/>
          <w:marRight w:val="0"/>
          <w:marTop w:val="0"/>
          <w:marBottom w:val="0"/>
          <w:divBdr>
            <w:top w:val="none" w:sz="0" w:space="0" w:color="auto"/>
            <w:left w:val="none" w:sz="0" w:space="0" w:color="auto"/>
            <w:bottom w:val="none" w:sz="0" w:space="0" w:color="auto"/>
            <w:right w:val="none" w:sz="0" w:space="0" w:color="auto"/>
          </w:divBdr>
        </w:div>
        <w:div w:id="1675843451">
          <w:marLeft w:val="0"/>
          <w:marRight w:val="0"/>
          <w:marTop w:val="0"/>
          <w:marBottom w:val="0"/>
          <w:divBdr>
            <w:top w:val="none" w:sz="0" w:space="0" w:color="auto"/>
            <w:left w:val="none" w:sz="0" w:space="0" w:color="auto"/>
            <w:bottom w:val="none" w:sz="0" w:space="0" w:color="auto"/>
            <w:right w:val="none" w:sz="0" w:space="0" w:color="auto"/>
          </w:divBdr>
        </w:div>
        <w:div w:id="1704593218">
          <w:marLeft w:val="0"/>
          <w:marRight w:val="0"/>
          <w:marTop w:val="0"/>
          <w:marBottom w:val="0"/>
          <w:divBdr>
            <w:top w:val="none" w:sz="0" w:space="0" w:color="auto"/>
            <w:left w:val="none" w:sz="0" w:space="0" w:color="auto"/>
            <w:bottom w:val="none" w:sz="0" w:space="0" w:color="auto"/>
            <w:right w:val="none" w:sz="0" w:space="0" w:color="auto"/>
          </w:divBdr>
        </w:div>
        <w:div w:id="1716812088">
          <w:marLeft w:val="0"/>
          <w:marRight w:val="0"/>
          <w:marTop w:val="0"/>
          <w:marBottom w:val="0"/>
          <w:divBdr>
            <w:top w:val="none" w:sz="0" w:space="0" w:color="auto"/>
            <w:left w:val="none" w:sz="0" w:space="0" w:color="auto"/>
            <w:bottom w:val="none" w:sz="0" w:space="0" w:color="auto"/>
            <w:right w:val="none" w:sz="0" w:space="0" w:color="auto"/>
          </w:divBdr>
        </w:div>
        <w:div w:id="1719430874">
          <w:marLeft w:val="0"/>
          <w:marRight w:val="0"/>
          <w:marTop w:val="0"/>
          <w:marBottom w:val="0"/>
          <w:divBdr>
            <w:top w:val="none" w:sz="0" w:space="0" w:color="auto"/>
            <w:left w:val="none" w:sz="0" w:space="0" w:color="auto"/>
            <w:bottom w:val="none" w:sz="0" w:space="0" w:color="auto"/>
            <w:right w:val="none" w:sz="0" w:space="0" w:color="auto"/>
          </w:divBdr>
        </w:div>
        <w:div w:id="1722754828">
          <w:marLeft w:val="0"/>
          <w:marRight w:val="0"/>
          <w:marTop w:val="0"/>
          <w:marBottom w:val="0"/>
          <w:divBdr>
            <w:top w:val="none" w:sz="0" w:space="0" w:color="auto"/>
            <w:left w:val="none" w:sz="0" w:space="0" w:color="auto"/>
            <w:bottom w:val="none" w:sz="0" w:space="0" w:color="auto"/>
            <w:right w:val="none" w:sz="0" w:space="0" w:color="auto"/>
          </w:divBdr>
        </w:div>
        <w:div w:id="1727993173">
          <w:marLeft w:val="0"/>
          <w:marRight w:val="0"/>
          <w:marTop w:val="0"/>
          <w:marBottom w:val="0"/>
          <w:divBdr>
            <w:top w:val="none" w:sz="0" w:space="0" w:color="auto"/>
            <w:left w:val="none" w:sz="0" w:space="0" w:color="auto"/>
            <w:bottom w:val="none" w:sz="0" w:space="0" w:color="auto"/>
            <w:right w:val="none" w:sz="0" w:space="0" w:color="auto"/>
          </w:divBdr>
        </w:div>
        <w:div w:id="1740978651">
          <w:marLeft w:val="0"/>
          <w:marRight w:val="0"/>
          <w:marTop w:val="0"/>
          <w:marBottom w:val="0"/>
          <w:divBdr>
            <w:top w:val="none" w:sz="0" w:space="0" w:color="auto"/>
            <w:left w:val="none" w:sz="0" w:space="0" w:color="auto"/>
            <w:bottom w:val="none" w:sz="0" w:space="0" w:color="auto"/>
            <w:right w:val="none" w:sz="0" w:space="0" w:color="auto"/>
          </w:divBdr>
        </w:div>
        <w:div w:id="1758553471">
          <w:marLeft w:val="0"/>
          <w:marRight w:val="0"/>
          <w:marTop w:val="0"/>
          <w:marBottom w:val="0"/>
          <w:divBdr>
            <w:top w:val="none" w:sz="0" w:space="0" w:color="auto"/>
            <w:left w:val="none" w:sz="0" w:space="0" w:color="auto"/>
            <w:bottom w:val="none" w:sz="0" w:space="0" w:color="auto"/>
            <w:right w:val="none" w:sz="0" w:space="0" w:color="auto"/>
          </w:divBdr>
        </w:div>
        <w:div w:id="1789542957">
          <w:marLeft w:val="0"/>
          <w:marRight w:val="0"/>
          <w:marTop w:val="0"/>
          <w:marBottom w:val="0"/>
          <w:divBdr>
            <w:top w:val="none" w:sz="0" w:space="0" w:color="auto"/>
            <w:left w:val="none" w:sz="0" w:space="0" w:color="auto"/>
            <w:bottom w:val="none" w:sz="0" w:space="0" w:color="auto"/>
            <w:right w:val="none" w:sz="0" w:space="0" w:color="auto"/>
          </w:divBdr>
        </w:div>
        <w:div w:id="1804497349">
          <w:marLeft w:val="0"/>
          <w:marRight w:val="0"/>
          <w:marTop w:val="0"/>
          <w:marBottom w:val="0"/>
          <w:divBdr>
            <w:top w:val="none" w:sz="0" w:space="0" w:color="auto"/>
            <w:left w:val="none" w:sz="0" w:space="0" w:color="auto"/>
            <w:bottom w:val="none" w:sz="0" w:space="0" w:color="auto"/>
            <w:right w:val="none" w:sz="0" w:space="0" w:color="auto"/>
          </w:divBdr>
        </w:div>
        <w:div w:id="1850410717">
          <w:marLeft w:val="0"/>
          <w:marRight w:val="0"/>
          <w:marTop w:val="0"/>
          <w:marBottom w:val="0"/>
          <w:divBdr>
            <w:top w:val="none" w:sz="0" w:space="0" w:color="auto"/>
            <w:left w:val="none" w:sz="0" w:space="0" w:color="auto"/>
            <w:bottom w:val="none" w:sz="0" w:space="0" w:color="auto"/>
            <w:right w:val="none" w:sz="0" w:space="0" w:color="auto"/>
          </w:divBdr>
        </w:div>
        <w:div w:id="1869222593">
          <w:marLeft w:val="0"/>
          <w:marRight w:val="0"/>
          <w:marTop w:val="0"/>
          <w:marBottom w:val="0"/>
          <w:divBdr>
            <w:top w:val="none" w:sz="0" w:space="0" w:color="auto"/>
            <w:left w:val="none" w:sz="0" w:space="0" w:color="auto"/>
            <w:bottom w:val="none" w:sz="0" w:space="0" w:color="auto"/>
            <w:right w:val="none" w:sz="0" w:space="0" w:color="auto"/>
          </w:divBdr>
        </w:div>
        <w:div w:id="1907841857">
          <w:marLeft w:val="0"/>
          <w:marRight w:val="0"/>
          <w:marTop w:val="0"/>
          <w:marBottom w:val="0"/>
          <w:divBdr>
            <w:top w:val="none" w:sz="0" w:space="0" w:color="auto"/>
            <w:left w:val="none" w:sz="0" w:space="0" w:color="auto"/>
            <w:bottom w:val="none" w:sz="0" w:space="0" w:color="auto"/>
            <w:right w:val="none" w:sz="0" w:space="0" w:color="auto"/>
          </w:divBdr>
        </w:div>
        <w:div w:id="1925607919">
          <w:marLeft w:val="0"/>
          <w:marRight w:val="0"/>
          <w:marTop w:val="0"/>
          <w:marBottom w:val="0"/>
          <w:divBdr>
            <w:top w:val="none" w:sz="0" w:space="0" w:color="auto"/>
            <w:left w:val="none" w:sz="0" w:space="0" w:color="auto"/>
            <w:bottom w:val="none" w:sz="0" w:space="0" w:color="auto"/>
            <w:right w:val="none" w:sz="0" w:space="0" w:color="auto"/>
          </w:divBdr>
        </w:div>
        <w:div w:id="1950620134">
          <w:marLeft w:val="0"/>
          <w:marRight w:val="0"/>
          <w:marTop w:val="0"/>
          <w:marBottom w:val="0"/>
          <w:divBdr>
            <w:top w:val="none" w:sz="0" w:space="0" w:color="auto"/>
            <w:left w:val="none" w:sz="0" w:space="0" w:color="auto"/>
            <w:bottom w:val="none" w:sz="0" w:space="0" w:color="auto"/>
            <w:right w:val="none" w:sz="0" w:space="0" w:color="auto"/>
          </w:divBdr>
        </w:div>
        <w:div w:id="1956911199">
          <w:marLeft w:val="0"/>
          <w:marRight w:val="0"/>
          <w:marTop w:val="0"/>
          <w:marBottom w:val="0"/>
          <w:divBdr>
            <w:top w:val="none" w:sz="0" w:space="0" w:color="auto"/>
            <w:left w:val="none" w:sz="0" w:space="0" w:color="auto"/>
            <w:bottom w:val="none" w:sz="0" w:space="0" w:color="auto"/>
            <w:right w:val="none" w:sz="0" w:space="0" w:color="auto"/>
          </w:divBdr>
        </w:div>
        <w:div w:id="1973094908">
          <w:marLeft w:val="0"/>
          <w:marRight w:val="0"/>
          <w:marTop w:val="0"/>
          <w:marBottom w:val="0"/>
          <w:divBdr>
            <w:top w:val="none" w:sz="0" w:space="0" w:color="auto"/>
            <w:left w:val="none" w:sz="0" w:space="0" w:color="auto"/>
            <w:bottom w:val="none" w:sz="0" w:space="0" w:color="auto"/>
            <w:right w:val="none" w:sz="0" w:space="0" w:color="auto"/>
          </w:divBdr>
        </w:div>
        <w:div w:id="1973171353">
          <w:marLeft w:val="0"/>
          <w:marRight w:val="0"/>
          <w:marTop w:val="0"/>
          <w:marBottom w:val="0"/>
          <w:divBdr>
            <w:top w:val="none" w:sz="0" w:space="0" w:color="auto"/>
            <w:left w:val="none" w:sz="0" w:space="0" w:color="auto"/>
            <w:bottom w:val="none" w:sz="0" w:space="0" w:color="auto"/>
            <w:right w:val="none" w:sz="0" w:space="0" w:color="auto"/>
          </w:divBdr>
        </w:div>
        <w:div w:id="1996227967">
          <w:marLeft w:val="0"/>
          <w:marRight w:val="0"/>
          <w:marTop w:val="0"/>
          <w:marBottom w:val="0"/>
          <w:divBdr>
            <w:top w:val="none" w:sz="0" w:space="0" w:color="auto"/>
            <w:left w:val="none" w:sz="0" w:space="0" w:color="auto"/>
            <w:bottom w:val="none" w:sz="0" w:space="0" w:color="auto"/>
            <w:right w:val="none" w:sz="0" w:space="0" w:color="auto"/>
          </w:divBdr>
        </w:div>
        <w:div w:id="2038464011">
          <w:marLeft w:val="0"/>
          <w:marRight w:val="0"/>
          <w:marTop w:val="0"/>
          <w:marBottom w:val="0"/>
          <w:divBdr>
            <w:top w:val="none" w:sz="0" w:space="0" w:color="auto"/>
            <w:left w:val="none" w:sz="0" w:space="0" w:color="auto"/>
            <w:bottom w:val="none" w:sz="0" w:space="0" w:color="auto"/>
            <w:right w:val="none" w:sz="0" w:space="0" w:color="auto"/>
          </w:divBdr>
        </w:div>
        <w:div w:id="2051609901">
          <w:marLeft w:val="0"/>
          <w:marRight w:val="0"/>
          <w:marTop w:val="0"/>
          <w:marBottom w:val="0"/>
          <w:divBdr>
            <w:top w:val="none" w:sz="0" w:space="0" w:color="auto"/>
            <w:left w:val="none" w:sz="0" w:space="0" w:color="auto"/>
            <w:bottom w:val="none" w:sz="0" w:space="0" w:color="auto"/>
            <w:right w:val="none" w:sz="0" w:space="0" w:color="auto"/>
          </w:divBdr>
        </w:div>
        <w:div w:id="2059738430">
          <w:marLeft w:val="0"/>
          <w:marRight w:val="0"/>
          <w:marTop w:val="0"/>
          <w:marBottom w:val="0"/>
          <w:divBdr>
            <w:top w:val="none" w:sz="0" w:space="0" w:color="auto"/>
            <w:left w:val="none" w:sz="0" w:space="0" w:color="auto"/>
            <w:bottom w:val="none" w:sz="0" w:space="0" w:color="auto"/>
            <w:right w:val="none" w:sz="0" w:space="0" w:color="auto"/>
          </w:divBdr>
        </w:div>
        <w:div w:id="2064060754">
          <w:marLeft w:val="0"/>
          <w:marRight w:val="0"/>
          <w:marTop w:val="0"/>
          <w:marBottom w:val="0"/>
          <w:divBdr>
            <w:top w:val="none" w:sz="0" w:space="0" w:color="auto"/>
            <w:left w:val="none" w:sz="0" w:space="0" w:color="auto"/>
            <w:bottom w:val="none" w:sz="0" w:space="0" w:color="auto"/>
            <w:right w:val="none" w:sz="0" w:space="0" w:color="auto"/>
          </w:divBdr>
        </w:div>
        <w:div w:id="2092966665">
          <w:marLeft w:val="0"/>
          <w:marRight w:val="0"/>
          <w:marTop w:val="0"/>
          <w:marBottom w:val="0"/>
          <w:divBdr>
            <w:top w:val="none" w:sz="0" w:space="0" w:color="auto"/>
            <w:left w:val="none" w:sz="0" w:space="0" w:color="auto"/>
            <w:bottom w:val="none" w:sz="0" w:space="0" w:color="auto"/>
            <w:right w:val="none" w:sz="0" w:space="0" w:color="auto"/>
          </w:divBdr>
        </w:div>
        <w:div w:id="2095126852">
          <w:marLeft w:val="0"/>
          <w:marRight w:val="0"/>
          <w:marTop w:val="0"/>
          <w:marBottom w:val="0"/>
          <w:divBdr>
            <w:top w:val="none" w:sz="0" w:space="0" w:color="auto"/>
            <w:left w:val="none" w:sz="0" w:space="0" w:color="auto"/>
            <w:bottom w:val="none" w:sz="0" w:space="0" w:color="auto"/>
            <w:right w:val="none" w:sz="0" w:space="0" w:color="auto"/>
          </w:divBdr>
        </w:div>
        <w:div w:id="2115830211">
          <w:marLeft w:val="0"/>
          <w:marRight w:val="0"/>
          <w:marTop w:val="0"/>
          <w:marBottom w:val="0"/>
          <w:divBdr>
            <w:top w:val="none" w:sz="0" w:space="0" w:color="auto"/>
            <w:left w:val="none" w:sz="0" w:space="0" w:color="auto"/>
            <w:bottom w:val="none" w:sz="0" w:space="0" w:color="auto"/>
            <w:right w:val="none" w:sz="0" w:space="0" w:color="auto"/>
          </w:divBdr>
        </w:div>
        <w:div w:id="2117942156">
          <w:marLeft w:val="0"/>
          <w:marRight w:val="0"/>
          <w:marTop w:val="0"/>
          <w:marBottom w:val="0"/>
          <w:divBdr>
            <w:top w:val="none" w:sz="0" w:space="0" w:color="auto"/>
            <w:left w:val="none" w:sz="0" w:space="0" w:color="auto"/>
            <w:bottom w:val="none" w:sz="0" w:space="0" w:color="auto"/>
            <w:right w:val="none" w:sz="0" w:space="0" w:color="auto"/>
          </w:divBdr>
        </w:div>
        <w:div w:id="2125803784">
          <w:marLeft w:val="0"/>
          <w:marRight w:val="0"/>
          <w:marTop w:val="0"/>
          <w:marBottom w:val="0"/>
          <w:divBdr>
            <w:top w:val="none" w:sz="0" w:space="0" w:color="auto"/>
            <w:left w:val="none" w:sz="0" w:space="0" w:color="auto"/>
            <w:bottom w:val="none" w:sz="0" w:space="0" w:color="auto"/>
            <w:right w:val="none" w:sz="0" w:space="0" w:color="auto"/>
          </w:divBdr>
        </w:div>
        <w:div w:id="2127894649">
          <w:marLeft w:val="0"/>
          <w:marRight w:val="0"/>
          <w:marTop w:val="0"/>
          <w:marBottom w:val="0"/>
          <w:divBdr>
            <w:top w:val="none" w:sz="0" w:space="0" w:color="auto"/>
            <w:left w:val="none" w:sz="0" w:space="0" w:color="auto"/>
            <w:bottom w:val="none" w:sz="0" w:space="0" w:color="auto"/>
            <w:right w:val="none" w:sz="0" w:space="0" w:color="auto"/>
          </w:divBdr>
        </w:div>
        <w:div w:id="2145197584">
          <w:marLeft w:val="0"/>
          <w:marRight w:val="0"/>
          <w:marTop w:val="0"/>
          <w:marBottom w:val="0"/>
          <w:divBdr>
            <w:top w:val="none" w:sz="0" w:space="0" w:color="auto"/>
            <w:left w:val="none" w:sz="0" w:space="0" w:color="auto"/>
            <w:bottom w:val="none" w:sz="0" w:space="0" w:color="auto"/>
            <w:right w:val="none" w:sz="0" w:space="0" w:color="auto"/>
          </w:divBdr>
        </w:div>
        <w:div w:id="2145729774">
          <w:marLeft w:val="0"/>
          <w:marRight w:val="0"/>
          <w:marTop w:val="0"/>
          <w:marBottom w:val="0"/>
          <w:divBdr>
            <w:top w:val="none" w:sz="0" w:space="0" w:color="auto"/>
            <w:left w:val="none" w:sz="0" w:space="0" w:color="auto"/>
            <w:bottom w:val="none" w:sz="0" w:space="0" w:color="auto"/>
            <w:right w:val="none" w:sz="0" w:space="0" w:color="auto"/>
          </w:divBdr>
        </w:div>
      </w:divsChild>
    </w:div>
    <w:div w:id="1550919646">
      <w:bodyDiv w:val="1"/>
      <w:marLeft w:val="0"/>
      <w:marRight w:val="0"/>
      <w:marTop w:val="0"/>
      <w:marBottom w:val="0"/>
      <w:divBdr>
        <w:top w:val="none" w:sz="0" w:space="0" w:color="auto"/>
        <w:left w:val="none" w:sz="0" w:space="0" w:color="auto"/>
        <w:bottom w:val="none" w:sz="0" w:space="0" w:color="auto"/>
        <w:right w:val="none" w:sz="0" w:space="0" w:color="auto"/>
      </w:divBdr>
    </w:div>
    <w:div w:id="1640963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50550F-2E6A-4061-958D-2760547A5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3377</Words>
  <Characters>19253</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 Bourne</dc:creator>
  <cp:keywords/>
  <dc:description/>
  <cp:lastModifiedBy>Elliot Bourne</cp:lastModifiedBy>
  <cp:revision>2</cp:revision>
  <cp:lastPrinted>2021-09-27T21:47:00Z</cp:lastPrinted>
  <dcterms:created xsi:type="dcterms:W3CDTF">2022-05-26T20:26:00Z</dcterms:created>
  <dcterms:modified xsi:type="dcterms:W3CDTF">2022-05-26T20:26:00Z</dcterms:modified>
</cp:coreProperties>
</file>